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1338dsc13e3a.htm"/>
      <w:bookmarkStart w:id="1" w:name="ksd51338dsc13e3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13E-3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13E-3 TRANSACTION STATEMENT UNDER </w:t>
      </w:r>
    </w:p>
    <w:p>
      <w:pPr>
        <w:pStyle w:val="TextBody"/>
        <w:bidi w:val="0"/>
        <w:spacing w:before="0" w:after="0"/>
        <w:jc w:val="center"/>
        <w:rPr>
          <w:rFonts w:ascii="Times New Roman" w:hAnsi="Times New Roman"/>
          <w:b/>
          <w:sz w:val="24"/>
        </w:rPr>
      </w:pPr>
      <w:r>
        <w:rPr>
          <w:rFonts w:ascii="Times New Roman" w:hAnsi="Times New Roman"/>
          <w:b/>
          <w:sz w:val="24"/>
        </w:rPr>
        <w:t xml:space="preserve">SECTION 13(E) 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European Wax Center,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European Wax Center, Inc. </w:t>
      </w:r>
    </w:p>
    <w:p>
      <w:pPr>
        <w:pStyle w:val="TextBody"/>
        <w:bidi w:val="0"/>
        <w:spacing w:before="0" w:after="0"/>
        <w:jc w:val="center"/>
        <w:rPr>
          <w:rFonts w:ascii="Times New Roman" w:hAnsi="Times New Roman"/>
          <w:b/>
          <w:sz w:val="20"/>
        </w:rPr>
      </w:pPr>
      <w:r>
        <w:rPr>
          <w:rFonts w:ascii="Times New Roman" w:hAnsi="Times New Roman"/>
          <w:b/>
          <w:sz w:val="20"/>
        </w:rPr>
        <w:t xml:space="preserve">EWC Ventures, LLC </w:t>
      </w:r>
    </w:p>
    <w:p>
      <w:pPr>
        <w:pStyle w:val="TextBody"/>
        <w:bidi w:val="0"/>
        <w:spacing w:before="0" w:after="0"/>
        <w:jc w:val="center"/>
        <w:rPr>
          <w:rFonts w:ascii="Times New Roman" w:hAnsi="Times New Roman"/>
          <w:b/>
          <w:sz w:val="20"/>
        </w:rPr>
      </w:pPr>
      <w:r>
        <w:rPr>
          <w:rFonts w:ascii="Times New Roman" w:hAnsi="Times New Roman"/>
          <w:b/>
          <w:sz w:val="20"/>
        </w:rPr>
        <w:t xml:space="preserve">Glow Midco, LLC </w:t>
      </w:r>
    </w:p>
    <w:p>
      <w:pPr>
        <w:pStyle w:val="TextBody"/>
        <w:bidi w:val="0"/>
        <w:spacing w:before="0" w:after="0"/>
        <w:jc w:val="center"/>
        <w:rPr>
          <w:rFonts w:ascii="Times New Roman" w:hAnsi="Times New Roman"/>
          <w:b/>
          <w:sz w:val="20"/>
        </w:rPr>
      </w:pPr>
      <w:r>
        <w:rPr>
          <w:rFonts w:ascii="Times New Roman" w:hAnsi="Times New Roman"/>
          <w:b/>
          <w:sz w:val="20"/>
        </w:rPr>
        <w:t xml:space="preserve">Glow Merger Sub 1, Inc. </w:t>
      </w:r>
    </w:p>
    <w:p>
      <w:pPr>
        <w:pStyle w:val="TextBody"/>
        <w:bidi w:val="0"/>
        <w:spacing w:before="0" w:after="0"/>
        <w:jc w:val="center"/>
        <w:rPr>
          <w:rFonts w:ascii="Times New Roman" w:hAnsi="Times New Roman"/>
          <w:b/>
          <w:sz w:val="20"/>
        </w:rPr>
      </w:pPr>
      <w:r>
        <w:rPr>
          <w:rFonts w:ascii="Times New Roman" w:hAnsi="Times New Roman"/>
          <w:b/>
          <w:sz w:val="20"/>
        </w:rPr>
        <w:t xml:space="preserve">Glow Merger Sub 2, LLC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GenPar, L.P.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III,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IV,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V,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CDA,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AIV-1 A,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AIV-1 B,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(SPV) GP, LLC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GenPar (EW),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 (EW), L.P. </w:t>
      </w:r>
    </w:p>
    <w:p>
      <w:pPr>
        <w:pStyle w:val="TextBody"/>
        <w:bidi w:val="0"/>
        <w:spacing w:before="0" w:after="0"/>
        <w:jc w:val="center"/>
        <w:rPr>
          <w:rFonts w:ascii="Times New Roman" w:hAnsi="Times New Roman"/>
          <w:b/>
          <w:sz w:val="20"/>
        </w:rPr>
      </w:pPr>
      <w:r>
        <w:rPr>
          <w:rFonts w:ascii="Times New Roman" w:hAnsi="Times New Roman"/>
          <w:b/>
          <w:sz w:val="20"/>
        </w:rPr>
        <w:t xml:space="preserve">GAPCO AIV Holdings, L.P. </w:t>
      </w:r>
    </w:p>
    <w:p>
      <w:pPr>
        <w:pStyle w:val="TextBody"/>
        <w:bidi w:val="0"/>
        <w:spacing w:before="0" w:after="0"/>
        <w:jc w:val="center"/>
        <w:rPr>
          <w:rFonts w:ascii="Times New Roman" w:hAnsi="Times New Roman"/>
          <w:b/>
          <w:sz w:val="20"/>
        </w:rPr>
      </w:pPr>
      <w:r>
        <w:rPr>
          <w:rFonts w:ascii="Times New Roman" w:hAnsi="Times New Roman"/>
          <w:b/>
          <w:sz w:val="20"/>
        </w:rPr>
        <w:t xml:space="preserve">GAPCO AIV Interholdco (EW), L.P. </w:t>
      </w:r>
    </w:p>
    <w:p>
      <w:pPr>
        <w:pStyle w:val="TextBody"/>
        <w:bidi w:val="0"/>
        <w:spacing w:before="0" w:after="0"/>
        <w:jc w:val="center"/>
        <w:rPr>
          <w:rFonts w:ascii="Times New Roman" w:hAnsi="Times New Roman"/>
          <w:b/>
          <w:sz w:val="20"/>
        </w:rPr>
      </w:pPr>
      <w:r>
        <w:rPr>
          <w:rFonts w:ascii="Times New Roman" w:hAnsi="Times New Roman"/>
          <w:b/>
          <w:sz w:val="20"/>
        </w:rPr>
        <w:t xml:space="preserve">GA AIV-1 B Interholdco, L.P. </w:t>
      </w:r>
    </w:p>
    <w:p>
      <w:pPr>
        <w:pStyle w:val="TextBody"/>
        <w:bidi w:val="0"/>
        <w:spacing w:before="0" w:after="0"/>
        <w:jc w:val="center"/>
        <w:rPr>
          <w:rFonts w:ascii="Times New Roman" w:hAnsi="Times New Roman"/>
          <w:b/>
          <w:sz w:val="20"/>
        </w:rPr>
      </w:pPr>
      <w:r>
        <w:rPr>
          <w:rFonts w:ascii="Times New Roman" w:hAnsi="Times New Roman"/>
          <w:b/>
          <w:sz w:val="20"/>
        </w:rPr>
        <w:t xml:space="preserve">GA AIV-1 B Interholdco (EW), L.P.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Persons Filing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Class A Common Stock, Par Value $0.00001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Common Stock: 29882P106</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European Wax Center, Inc.</w:t>
              <w:br/>
              <w:t>EWC Ventures, LLC</w:t>
            </w:r>
          </w:p>
          <w:p>
            <w:pPr>
              <w:pStyle w:val="TableContents"/>
              <w:bidi w:val="0"/>
              <w:spacing w:before="0" w:after="0"/>
              <w:jc w:val="center"/>
              <w:rPr>
                <w:rFonts w:ascii="Times New Roman" w:hAnsi="Times New Roman"/>
                <w:b/>
                <w:sz w:val="20"/>
              </w:rPr>
            </w:pPr>
            <w:r>
              <w:rPr>
                <w:rFonts w:ascii="Times New Roman" w:hAnsi="Times New Roman"/>
                <w:b/>
                <w:sz w:val="20"/>
              </w:rPr>
              <w:t>5830 Granite Parkway, 3rd Floor</w:t>
              <w:br/>
              <w:t>Plano, Texas 75024</w:t>
            </w:r>
          </w:p>
          <w:p>
            <w:pPr>
              <w:pStyle w:val="TableContents"/>
              <w:bidi w:val="0"/>
              <w:spacing w:before="0" w:after="20"/>
              <w:jc w:val="center"/>
              <w:rPr>
                <w:rFonts w:ascii="Times New Roman" w:hAnsi="Times New Roman"/>
                <w:b/>
                <w:sz w:val="20"/>
              </w:rPr>
            </w:pPr>
            <w:r>
              <w:rPr>
                <w:rFonts w:ascii="Times New Roman" w:hAnsi="Times New Roman"/>
                <w:b/>
                <w:sz w:val="20"/>
              </w:rPr>
              <w:t>Tel: (469) 264-8123</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Glow Midco, LLC</w:t>
            </w:r>
          </w:p>
          <w:p>
            <w:pPr>
              <w:pStyle w:val="TableContents"/>
              <w:bidi w:val="0"/>
              <w:spacing w:before="0" w:after="0"/>
              <w:jc w:val="center"/>
              <w:rPr>
                <w:rFonts w:ascii="Times New Roman" w:hAnsi="Times New Roman"/>
                <w:b/>
                <w:sz w:val="20"/>
              </w:rPr>
            </w:pPr>
            <w:r>
              <w:rPr>
                <w:rFonts w:ascii="Times New Roman" w:hAnsi="Times New Roman"/>
                <w:b/>
                <w:sz w:val="20"/>
              </w:rPr>
              <w:t>Glow Merger Sub 1, Inc.</w:t>
            </w:r>
          </w:p>
          <w:p>
            <w:pPr>
              <w:pStyle w:val="TableContents"/>
              <w:bidi w:val="0"/>
              <w:spacing w:before="0" w:after="0"/>
              <w:jc w:val="center"/>
              <w:rPr>
                <w:rFonts w:ascii="Times New Roman" w:hAnsi="Times New Roman"/>
                <w:b/>
                <w:sz w:val="20"/>
              </w:rPr>
            </w:pPr>
            <w:r>
              <w:rPr>
                <w:rFonts w:ascii="Times New Roman" w:hAnsi="Times New Roman"/>
                <w:b/>
                <w:sz w:val="20"/>
              </w:rPr>
              <w:t>Glow Merger Sub 2, LLC</w:t>
            </w:r>
          </w:p>
          <w:p>
            <w:pPr>
              <w:pStyle w:val="TableContents"/>
              <w:bidi w:val="0"/>
              <w:spacing w:before="0" w:after="0"/>
              <w:jc w:val="center"/>
              <w:rPr>
                <w:rFonts w:ascii="Times New Roman" w:hAnsi="Times New Roman"/>
                <w:b/>
                <w:sz w:val="20"/>
              </w:rPr>
            </w:pPr>
            <w:r>
              <w:rPr>
                <w:rFonts w:ascii="Times New Roman" w:hAnsi="Times New Roman"/>
                <w:b/>
                <w:sz w:val="20"/>
              </w:rPr>
              <w:t>c/o General Atlantic Service Company, L.P.,</w:t>
            </w:r>
          </w:p>
          <w:p>
            <w:pPr>
              <w:pStyle w:val="TableContents"/>
              <w:bidi w:val="0"/>
              <w:spacing w:before="0" w:after="0"/>
              <w:jc w:val="center"/>
              <w:rPr>
                <w:rFonts w:ascii="Times New Roman" w:hAnsi="Times New Roman"/>
                <w:b/>
                <w:sz w:val="20"/>
              </w:rPr>
            </w:pPr>
            <w:r>
              <w:rPr>
                <w:rFonts w:ascii="Times New Roman" w:hAnsi="Times New Roman"/>
                <w:b/>
                <w:sz w:val="20"/>
              </w:rPr>
              <w:t>55 East 52nd Street, 32nd Floor</w:t>
            </w:r>
          </w:p>
          <w:p>
            <w:pPr>
              <w:pStyle w:val="TableContents"/>
              <w:bidi w:val="0"/>
              <w:spacing w:before="0" w:after="0"/>
              <w:jc w:val="center"/>
              <w:rPr>
                <w:rFonts w:ascii="Times New Roman" w:hAnsi="Times New Roman"/>
                <w:b/>
                <w:sz w:val="20"/>
              </w:rPr>
            </w:pPr>
            <w:r>
              <w:rPr>
                <w:rFonts w:ascii="Times New Roman" w:hAnsi="Times New Roman"/>
                <w:b/>
                <w:sz w:val="20"/>
              </w:rPr>
              <w:t>New York, NY 10055</w:t>
            </w:r>
          </w:p>
          <w:p>
            <w:pPr>
              <w:pStyle w:val="TableContents"/>
              <w:bidi w:val="0"/>
              <w:spacing w:before="0" w:after="20"/>
              <w:jc w:val="center"/>
              <w:rPr>
                <w:rFonts w:ascii="Times New Roman" w:hAnsi="Times New Roman"/>
                <w:b/>
                <w:sz w:val="20"/>
              </w:rPr>
            </w:pPr>
            <w:r>
              <w:rPr>
                <w:rFonts w:ascii="Times New Roman" w:hAnsi="Times New Roman"/>
                <w:b/>
                <w:sz w:val="20"/>
              </w:rPr>
              <w:t>Tel: (212) 715-4000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GenPar, L.P.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III,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IV,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V, LLC </w:t>
      </w:r>
    </w:p>
    <w:p>
      <w:pPr>
        <w:pStyle w:val="TextBody"/>
        <w:bidi w:val="0"/>
        <w:spacing w:before="0" w:after="0"/>
        <w:jc w:val="center"/>
        <w:rPr>
          <w:rFonts w:ascii="Times New Roman" w:hAnsi="Times New Roman"/>
          <w:b/>
          <w:sz w:val="20"/>
        </w:rPr>
      </w:pPr>
      <w:r>
        <w:rPr>
          <w:rFonts w:ascii="Times New Roman" w:hAnsi="Times New Roman"/>
          <w:b/>
          <w:sz w:val="20"/>
        </w:rPr>
        <w:t xml:space="preserve">GAP Coinvestments CDA,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AIV-1 A,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AIV-1 B,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(SPV) GP, LLC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GenPar (EW), L.P. </w:t>
      </w:r>
    </w:p>
    <w:p>
      <w:pPr>
        <w:pStyle w:val="TextBody"/>
        <w:bidi w:val="0"/>
        <w:spacing w:before="0" w:after="0"/>
        <w:jc w:val="center"/>
        <w:rPr>
          <w:rFonts w:ascii="Times New Roman" w:hAnsi="Times New Roman"/>
          <w:b/>
          <w:sz w:val="20"/>
        </w:rPr>
      </w:pPr>
      <w:r>
        <w:rPr>
          <w:rFonts w:ascii="Times New Roman" w:hAnsi="Times New Roman"/>
          <w:b/>
          <w:sz w:val="20"/>
        </w:rPr>
        <w:t xml:space="preserve">General Atlantic Partners AIV (EW), L.P. </w:t>
      </w:r>
    </w:p>
    <w:p>
      <w:pPr>
        <w:pStyle w:val="TextBody"/>
        <w:bidi w:val="0"/>
        <w:spacing w:before="0" w:after="0"/>
        <w:jc w:val="center"/>
        <w:rPr>
          <w:rFonts w:ascii="Times New Roman" w:hAnsi="Times New Roman"/>
          <w:b/>
          <w:sz w:val="20"/>
        </w:rPr>
      </w:pPr>
      <w:r>
        <w:rPr>
          <w:rFonts w:ascii="Times New Roman" w:hAnsi="Times New Roman"/>
          <w:b/>
          <w:sz w:val="20"/>
        </w:rPr>
        <w:t xml:space="preserve">GAPCO AIV Holdings, L.P. </w:t>
      </w:r>
    </w:p>
    <w:p>
      <w:pPr>
        <w:pStyle w:val="TextBody"/>
        <w:bidi w:val="0"/>
        <w:spacing w:before="0" w:after="0"/>
        <w:jc w:val="center"/>
        <w:rPr>
          <w:rFonts w:ascii="Times New Roman" w:hAnsi="Times New Roman"/>
          <w:b/>
          <w:sz w:val="20"/>
        </w:rPr>
      </w:pPr>
      <w:r>
        <w:rPr>
          <w:rFonts w:ascii="Times New Roman" w:hAnsi="Times New Roman"/>
          <w:b/>
          <w:sz w:val="20"/>
        </w:rPr>
        <w:t xml:space="preserve">GAPCO AIV Interholdco (EW), L.P. </w:t>
      </w:r>
    </w:p>
    <w:p>
      <w:pPr>
        <w:pStyle w:val="TextBody"/>
        <w:bidi w:val="0"/>
        <w:spacing w:before="0" w:after="0"/>
        <w:jc w:val="center"/>
        <w:rPr>
          <w:rFonts w:ascii="Times New Roman" w:hAnsi="Times New Roman"/>
          <w:b/>
          <w:sz w:val="20"/>
        </w:rPr>
      </w:pPr>
      <w:r>
        <w:rPr>
          <w:rFonts w:ascii="Times New Roman" w:hAnsi="Times New Roman"/>
          <w:b/>
          <w:sz w:val="20"/>
        </w:rPr>
        <w:t xml:space="preserve">GA AIV-1 B Interholdco, L.P. </w:t>
      </w:r>
    </w:p>
    <w:p>
      <w:pPr>
        <w:pStyle w:val="TextBody"/>
        <w:bidi w:val="0"/>
        <w:spacing w:before="0" w:after="0"/>
        <w:jc w:val="center"/>
        <w:rPr>
          <w:rFonts w:ascii="Times New Roman" w:hAnsi="Times New Roman"/>
          <w:b/>
          <w:sz w:val="20"/>
        </w:rPr>
      </w:pPr>
      <w:r>
        <w:rPr>
          <w:rFonts w:ascii="Times New Roman" w:hAnsi="Times New Roman"/>
          <w:b/>
          <w:sz w:val="20"/>
        </w:rPr>
        <w:t xml:space="preserve">GA AIV-1 B Interholdco (EW), L.P., </w:t>
      </w:r>
    </w:p>
    <w:p>
      <w:pPr>
        <w:pStyle w:val="TextBody"/>
        <w:bidi w:val="0"/>
        <w:spacing w:before="0" w:after="0"/>
        <w:jc w:val="center"/>
        <w:rPr>
          <w:rFonts w:ascii="Times New Roman" w:hAnsi="Times New Roman"/>
          <w:b/>
          <w:sz w:val="20"/>
        </w:rPr>
      </w:pPr>
      <w:r>
        <w:rPr>
          <w:rFonts w:ascii="Times New Roman" w:hAnsi="Times New Roman"/>
          <w:b/>
          <w:sz w:val="20"/>
        </w:rPr>
        <w:t xml:space="preserve">55 East 52nd Street, 33rd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10055 </w:t>
      </w:r>
    </w:p>
    <w:p>
      <w:pPr>
        <w:pStyle w:val="TextBody"/>
        <w:bidi w:val="0"/>
        <w:spacing w:before="0" w:after="0"/>
        <w:jc w:val="center"/>
        <w:rPr>
          <w:rFonts w:ascii="Times New Roman" w:hAnsi="Times New Roman"/>
          <w:b/>
          <w:sz w:val="20"/>
        </w:rPr>
      </w:pPr>
      <w:r>
        <w:rPr>
          <w:rFonts w:ascii="Times New Roman" w:hAnsi="Times New Roman"/>
          <w:b/>
          <w:sz w:val="20"/>
        </w:rPr>
        <w:t xml:space="preserve">Tel: (212) 715-4000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w:t>
      </w:r>
    </w:p>
    <w:p>
      <w:pPr>
        <w:pStyle w:val="TextBody"/>
        <w:bidi w:val="0"/>
        <w:spacing w:before="0" w:after="0"/>
        <w:jc w:val="center"/>
        <w:rPr>
          <w:rFonts w:ascii="Times New Roman" w:hAnsi="Times New Roman"/>
          <w:b/>
          <w:sz w:val="16"/>
        </w:rPr>
      </w:pPr>
      <w:r>
        <w:rPr>
          <w:rFonts w:ascii="Times New Roman" w:hAnsi="Times New Roman"/>
          <w:b/>
          <w:sz w:val="16"/>
        </w:rPr>
        <w:t xml:space="preserve">Notices and Communications on Behalf of the Persons Filing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Thomas Fraser</w:t>
              <w:br/>
              <w:t>Ropes &amp; Gray LLP</w:t>
            </w:r>
          </w:p>
          <w:p>
            <w:pPr>
              <w:pStyle w:val="TableContents"/>
              <w:bidi w:val="0"/>
              <w:spacing w:before="0" w:after="0"/>
              <w:jc w:val="center"/>
              <w:rPr>
                <w:rFonts w:ascii="Times New Roman" w:hAnsi="Times New Roman"/>
                <w:b/>
                <w:sz w:val="20"/>
              </w:rPr>
            </w:pPr>
            <w:r>
              <w:rPr>
                <w:rFonts w:ascii="Times New Roman" w:hAnsi="Times New Roman"/>
                <w:b/>
                <w:sz w:val="20"/>
              </w:rPr>
              <w:t>Prudential Tower</w:t>
            </w:r>
          </w:p>
          <w:p>
            <w:pPr>
              <w:pStyle w:val="TableContents"/>
              <w:bidi w:val="0"/>
              <w:spacing w:before="0" w:after="0"/>
              <w:jc w:val="center"/>
              <w:rPr>
                <w:rFonts w:ascii="Times New Roman" w:hAnsi="Times New Roman"/>
                <w:b/>
                <w:sz w:val="20"/>
              </w:rPr>
            </w:pPr>
            <w:r>
              <w:rPr>
                <w:rFonts w:ascii="Times New Roman" w:hAnsi="Times New Roman"/>
                <w:b/>
                <w:sz w:val="20"/>
              </w:rPr>
              <w:t>800 Boylston Street</w:t>
            </w:r>
          </w:p>
          <w:p>
            <w:pPr>
              <w:pStyle w:val="TableContents"/>
              <w:bidi w:val="0"/>
              <w:spacing w:before="0" w:after="0"/>
              <w:jc w:val="center"/>
              <w:rPr>
                <w:rFonts w:ascii="Times New Roman" w:hAnsi="Times New Roman"/>
                <w:b/>
                <w:sz w:val="20"/>
              </w:rPr>
            </w:pPr>
            <w:r>
              <w:rPr>
                <w:rFonts w:ascii="Times New Roman" w:hAnsi="Times New Roman"/>
                <w:b/>
                <w:sz w:val="20"/>
              </w:rPr>
              <w:t>Boston, Massachusetts 02199</w:t>
            </w:r>
          </w:p>
          <w:p>
            <w:pPr>
              <w:pStyle w:val="TableContents"/>
              <w:bidi w:val="0"/>
              <w:spacing w:before="0" w:after="20"/>
              <w:jc w:val="center"/>
              <w:rPr>
                <w:rFonts w:ascii="Times New Roman" w:hAnsi="Times New Roman"/>
                <w:b/>
                <w:sz w:val="20"/>
              </w:rPr>
            </w:pPr>
            <w:r>
              <w:rPr>
                <w:rFonts w:ascii="Times New Roman" w:hAnsi="Times New Roman"/>
                <w:b/>
                <w:sz w:val="20"/>
              </w:rPr>
              <w:t>(617) 951-7000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Matthew W. Abbott</w:t>
            </w:r>
          </w:p>
          <w:p>
            <w:pPr>
              <w:pStyle w:val="TableContents"/>
              <w:bidi w:val="0"/>
              <w:spacing w:before="0" w:after="0"/>
              <w:jc w:val="center"/>
              <w:rPr>
                <w:rFonts w:ascii="Times New Roman" w:hAnsi="Times New Roman"/>
                <w:b/>
                <w:sz w:val="20"/>
              </w:rPr>
            </w:pPr>
            <w:r>
              <w:rPr>
                <w:rFonts w:ascii="Times New Roman" w:hAnsi="Times New Roman"/>
                <w:b/>
                <w:sz w:val="20"/>
              </w:rPr>
              <w:t>Christopher J. Cummings</w:t>
            </w:r>
          </w:p>
          <w:p>
            <w:pPr>
              <w:pStyle w:val="TableContents"/>
              <w:bidi w:val="0"/>
              <w:spacing w:before="0" w:after="0"/>
              <w:jc w:val="center"/>
              <w:rPr>
                <w:rFonts w:ascii="Times New Roman" w:hAnsi="Times New Roman"/>
                <w:b/>
                <w:sz w:val="20"/>
              </w:rPr>
            </w:pPr>
            <w:r>
              <w:rPr>
                <w:rFonts w:ascii="Times New Roman" w:hAnsi="Times New Roman"/>
                <w:b/>
                <w:sz w:val="20"/>
              </w:rPr>
              <w:t>Cullen L. Sinclair</w:t>
            </w:r>
          </w:p>
          <w:p>
            <w:pPr>
              <w:pStyle w:val="TableContents"/>
              <w:bidi w:val="0"/>
              <w:spacing w:before="0" w:after="0"/>
              <w:jc w:val="center"/>
              <w:rPr>
                <w:rFonts w:ascii="Times New Roman" w:hAnsi="Times New Roman"/>
                <w:b/>
                <w:sz w:val="20"/>
              </w:rPr>
            </w:pPr>
            <w:r>
              <w:rPr>
                <w:rFonts w:ascii="Times New Roman" w:hAnsi="Times New Roman"/>
                <w:b/>
                <w:sz w:val="20"/>
              </w:rPr>
              <w:t>Paul, Weiss, Rifkind, Wharton &amp; Garrison LLP</w:t>
            </w:r>
          </w:p>
          <w:p>
            <w:pPr>
              <w:pStyle w:val="TableContents"/>
              <w:bidi w:val="0"/>
              <w:spacing w:before="0" w:after="0"/>
              <w:jc w:val="center"/>
              <w:rPr>
                <w:rFonts w:ascii="Times New Roman" w:hAnsi="Times New Roman"/>
                <w:b/>
                <w:sz w:val="20"/>
              </w:rPr>
            </w:pPr>
            <w:r>
              <w:rPr>
                <w:rFonts w:ascii="Times New Roman" w:hAnsi="Times New Roman"/>
                <w:b/>
                <w:sz w:val="20"/>
              </w:rPr>
              <w:t>1285 Avenue of the Americas</w:t>
            </w:r>
          </w:p>
          <w:p>
            <w:pPr>
              <w:pStyle w:val="TableContents"/>
              <w:bidi w:val="0"/>
              <w:spacing w:before="0" w:after="0"/>
              <w:jc w:val="center"/>
              <w:rPr>
                <w:rFonts w:ascii="Times New Roman" w:hAnsi="Times New Roman"/>
                <w:b/>
                <w:sz w:val="20"/>
              </w:rPr>
            </w:pPr>
            <w:r>
              <w:rPr>
                <w:rFonts w:ascii="Times New Roman" w:hAnsi="Times New Roman"/>
                <w:b/>
                <w:sz w:val="20"/>
              </w:rPr>
              <w:t>New York, NY 10019</w:t>
            </w:r>
          </w:p>
          <w:p>
            <w:pPr>
              <w:pStyle w:val="TableContents"/>
              <w:bidi w:val="0"/>
              <w:spacing w:before="0" w:after="20"/>
              <w:jc w:val="center"/>
              <w:rPr>
                <w:rFonts w:ascii="Times New Roman" w:hAnsi="Times New Roman"/>
                <w:b/>
                <w:sz w:val="20"/>
              </w:rPr>
            </w:pPr>
            <w:r>
              <w:rPr>
                <w:rFonts w:ascii="Times New Roman" w:hAnsi="Times New Roman"/>
                <w:b/>
                <w:sz w:val="20"/>
              </w:rPr>
              <w:t>Tel: (212) 373-3000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t xml:space="preserve">☒ </w:t>
            </w:r>
            <w:r>
              <w:rPr>
                <w:rFonts w:ascii="Times New Roman" w:hAnsi="Times New Roman"/>
                <w:sz w:val="20"/>
              </w:rPr>
              <w:t xml:space="preserve">The filing of solicitation materials or an information statement subject to Regulation 14A, Regulation 14C or Rule 13e-3(c) under the Securities Exchange Act of 1934.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pPr>
            <w:r>
              <w:rPr/>
              <w:t xml:space="preserve">☐ </w:t>
            </w:r>
            <w:r>
              <w:rPr>
                <w:rFonts w:ascii="Times New Roman" w:hAnsi="Times New Roman"/>
                <w:sz w:val="20"/>
              </w:rPr>
              <w:t xml:space="preserve">The filing of a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t xml:space="preserve">☐ </w:t>
            </w:r>
            <w:r>
              <w:rPr>
                <w:rFonts w:ascii="Times New Roman" w:hAnsi="Times New Roman"/>
                <w:sz w:val="20"/>
              </w:rPr>
              <w:t xml:space="preserve">A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pPr>
            <w:r>
              <w:rPr/>
              <w:t xml:space="preserve">☐ </w:t>
            </w:r>
            <w:r>
              <w:rPr>
                <w:rFonts w:ascii="Times New Roman" w:hAnsi="Times New Roman"/>
                <w:sz w:val="20"/>
              </w:rPr>
              <w:t xml:space="preserve">None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This Amendment No. 1 (“</w:t>
      </w:r>
      <w:r>
        <w:rPr>
          <w:rFonts w:ascii="Times New Roman" w:hAnsi="Times New Roman"/>
          <w:b/>
          <w:sz w:val="20"/>
        </w:rPr>
        <w:t>Amendment No. 1</w:t>
      </w:r>
      <w:r>
        <w:rPr>
          <w:rFonts w:ascii="Times New Roman" w:hAnsi="Times New Roman"/>
          <w:sz w:val="20"/>
        </w:rPr>
        <w:t>”) to the Rule 13e-3 Transaction Statement on Schedule 13E-3, together with the exhibits hereto (as amended by Amendment No. 1, this “</w:t>
      </w:r>
      <w:r>
        <w:rPr>
          <w:rFonts w:ascii="Times New Roman" w:hAnsi="Times New Roman"/>
          <w:b/>
          <w:sz w:val="20"/>
        </w:rPr>
        <w:t>Schedule 13E-3</w:t>
      </w:r>
      <w:r>
        <w:rPr>
          <w:rFonts w:ascii="Times New Roman" w:hAnsi="Times New Roman"/>
          <w:sz w:val="20"/>
        </w:rPr>
        <w:t>” or “</w:t>
      </w:r>
      <w:r>
        <w:rPr>
          <w:rFonts w:ascii="Times New Roman" w:hAnsi="Times New Roman"/>
          <w:b/>
          <w:sz w:val="20"/>
        </w:rPr>
        <w:t>Transaction Statement</w:t>
      </w:r>
      <w:r>
        <w:rPr>
          <w:rFonts w:ascii="Times New Roman" w:hAnsi="Times New Roman"/>
          <w:sz w:val="20"/>
        </w:rPr>
        <w:t>”), is being filed with the Securities and Exchange Commission (the “</w:t>
      </w:r>
      <w:r>
        <w:rPr>
          <w:rFonts w:ascii="Times New Roman" w:hAnsi="Times New Roman"/>
          <w:b/>
          <w:sz w:val="20"/>
        </w:rPr>
        <w:t>SEC</w:t>
      </w:r>
      <w:r>
        <w:rPr>
          <w:rFonts w:ascii="Times New Roman" w:hAnsi="Times New Roman"/>
          <w:sz w:val="20"/>
        </w:rPr>
        <w:t>”) pursuant to Section 13(e) of the Securities Exchange Act of 1934, as amended (together with the rules and regulations promulgated thereunder, the “</w:t>
      </w:r>
      <w:r>
        <w:rPr>
          <w:rFonts w:ascii="Times New Roman" w:hAnsi="Times New Roman"/>
          <w:b/>
          <w:sz w:val="20"/>
        </w:rPr>
        <w:t>Exchange Act</w:t>
      </w:r>
      <w:r>
        <w:rPr>
          <w:rFonts w:ascii="Times New Roman" w:hAnsi="Times New Roman"/>
          <w:sz w:val="20"/>
        </w:rPr>
        <w:t>”), jointly by the following persons (each, a “</w:t>
      </w:r>
      <w:r>
        <w:rPr>
          <w:rFonts w:ascii="Times New Roman" w:hAnsi="Times New Roman"/>
          <w:b/>
          <w:sz w:val="20"/>
        </w:rPr>
        <w:t>Filing Person</w:t>
      </w:r>
      <w:r>
        <w:rPr>
          <w:rFonts w:ascii="Times New Roman" w:hAnsi="Times New Roman"/>
          <w:sz w:val="20"/>
        </w:rPr>
        <w:t>,” and collectively, the “</w:t>
      </w:r>
      <w:r>
        <w:rPr>
          <w:rFonts w:ascii="Times New Roman" w:hAnsi="Times New Roman"/>
          <w:b/>
          <w:sz w:val="20"/>
        </w:rPr>
        <w:t>Filing Persons</w:t>
      </w:r>
      <w:r>
        <w:rPr>
          <w:rFonts w:ascii="Times New Roman" w:hAnsi="Times New Roman"/>
          <w:sz w:val="20"/>
        </w:rPr>
        <w:t>”): (i) European Wax Center, Inc. (the “</w:t>
      </w:r>
      <w:r>
        <w:rPr>
          <w:rFonts w:ascii="Times New Roman" w:hAnsi="Times New Roman"/>
          <w:b/>
          <w:sz w:val="20"/>
        </w:rPr>
        <w:t>Company</w:t>
      </w:r>
      <w:r>
        <w:rPr>
          <w:rFonts w:ascii="Times New Roman" w:hAnsi="Times New Roman"/>
          <w:sz w:val="20"/>
        </w:rPr>
        <w:t>”), a Delaware corporation, (ii) EWC Ventures, LLC, a Delaware limited liability company (“</w:t>
      </w:r>
      <w:r>
        <w:rPr>
          <w:rFonts w:ascii="Times New Roman" w:hAnsi="Times New Roman"/>
          <w:b/>
          <w:sz w:val="20"/>
        </w:rPr>
        <w:t>Opco</w:t>
      </w:r>
      <w:r>
        <w:rPr>
          <w:rFonts w:ascii="Times New Roman" w:hAnsi="Times New Roman"/>
          <w:sz w:val="20"/>
        </w:rPr>
        <w:t>”), (iii) Glow Midco, LLC, a Delaware limited liability company (“</w:t>
      </w:r>
      <w:r>
        <w:rPr>
          <w:rFonts w:ascii="Times New Roman" w:hAnsi="Times New Roman"/>
          <w:b/>
          <w:sz w:val="20"/>
        </w:rPr>
        <w:t>Parent</w:t>
      </w:r>
      <w:r>
        <w:rPr>
          <w:rFonts w:ascii="Times New Roman" w:hAnsi="Times New Roman"/>
          <w:sz w:val="20"/>
        </w:rPr>
        <w:t>”), (iv) Glow Merger Sub 1, Inc., a Delaware corporation and wholly owned subsidiary of Parent (“</w:t>
      </w:r>
      <w:r>
        <w:rPr>
          <w:rFonts w:ascii="Times New Roman" w:hAnsi="Times New Roman"/>
          <w:b/>
          <w:sz w:val="20"/>
        </w:rPr>
        <w:t>Merger Sub Inc.</w:t>
      </w:r>
      <w:r>
        <w:rPr>
          <w:rFonts w:ascii="Times New Roman" w:hAnsi="Times New Roman"/>
          <w:sz w:val="20"/>
        </w:rPr>
        <w:t>”), (v) Glow Merger Sub 2, LLC, a Delaware limited liability company and wholly owned subsidiary of Parent (“</w:t>
      </w:r>
      <w:r>
        <w:rPr>
          <w:rFonts w:ascii="Times New Roman" w:hAnsi="Times New Roman"/>
          <w:b/>
          <w:sz w:val="20"/>
        </w:rPr>
        <w:t>Merger Sub LLC</w:t>
      </w:r>
      <w:r>
        <w:rPr>
          <w:rFonts w:ascii="Times New Roman" w:hAnsi="Times New Roman"/>
          <w:sz w:val="20"/>
        </w:rPr>
        <w:t>,” together with Merger Sub Inc. and Parent, the “</w:t>
      </w:r>
      <w:r>
        <w:rPr>
          <w:rFonts w:ascii="Times New Roman" w:hAnsi="Times New Roman"/>
          <w:b/>
          <w:sz w:val="20"/>
        </w:rPr>
        <w:t>Buyer Parties</w:t>
      </w:r>
      <w:r>
        <w:rPr>
          <w:rFonts w:ascii="Times New Roman" w:hAnsi="Times New Roman"/>
          <w:sz w:val="20"/>
        </w:rPr>
        <w:t>”), (vi) General Atlantic, L.P., a Delaware limited partnership, (vii) General Atlantic GenPar, L.P., a Delaware limited partnership, (viii) GAP Coinvestments III, LLC, a Delaware limited liability company, (ix) GAP Coinvestments IV, LLC, a Delaware limited liability company, (x) GAP Coinvestments V, LLC, a Delaware limited liability company, (xi) GAP Coinvestments CDA, L.P., a Delaware limited partnership, (xii) General Atlantic Partners AIV-1 A, L.P., a Delaware limited partnership, (xiii) General Atlantic Partners AIV-1 B, L.P., a Delaware limited partnership, (xiv) General Atlantic (SPV) GP, LLC, a Delaware limited liability company, (xv) General Atlantic GenPar (EW), L.P., a Delaware limited partnership, (xvi) General Atlantic Partners AIV (EW), L.P., a Delaware limited partnership, (xvii) GAPCO AIV Holdings, L.P., a Delaware limited partnership, (xviii) GAPCO AIV Interholdco (EW), L.P., a Delaware limited partnership, (xix) GA AIV-1 B Interholdco, L.P., a Delaware limited partnership, and (xx) GA AIV-1 B Interholdco (EW), L.P., a Delaware limited partnership (together with Filing Persons (vi) through (xix), “</w:t>
      </w:r>
      <w:r>
        <w:rPr>
          <w:rFonts w:ascii="Times New Roman" w:hAnsi="Times New Roman"/>
          <w:b/>
          <w:sz w:val="20"/>
        </w:rPr>
        <w:t>General Atlantic</w:t>
      </w:r>
      <w:r>
        <w:rPr>
          <w:rFonts w:ascii="Times New Roman" w:hAnsi="Times New Roman"/>
          <w:sz w:val="20"/>
        </w:rPr>
        <w:t xml:space="preserve">”). Parent, Merger Sub Inc., Merger Sub LLC and General Atlantic are Filing Persons of this Transaction Statement because they may be deemed to be affiliates of the Company under the SEC rules governing “going-private” transactions. </w:t>
      </w:r>
    </w:p>
    <w:p>
      <w:pPr>
        <w:pStyle w:val="TextBody"/>
        <w:bidi w:val="0"/>
        <w:spacing w:before="240" w:after="0"/>
        <w:jc w:val="left"/>
        <w:rPr>
          <w:rFonts w:ascii="Times New Roman" w:hAnsi="Times New Roman"/>
          <w:sz w:val="20"/>
        </w:rPr>
      </w:pPr>
      <w:r>
        <w:rPr>
          <w:rFonts w:ascii="Times New Roman" w:hAnsi="Times New Roman"/>
          <w:sz w:val="20"/>
        </w:rPr>
        <w:t>On February 9, 2026, the Company, Opco, Parent, Merger Sub Inc. and Merger Sub LLC entered into an Agreement and Plan of Merger (as amended, restated, supplemented or otherwise modified from time to time, the “</w:t>
      </w:r>
      <w:r>
        <w:rPr>
          <w:rFonts w:ascii="Times New Roman" w:hAnsi="Times New Roman"/>
          <w:b/>
          <w:sz w:val="20"/>
        </w:rPr>
        <w:t>Merger Agreement</w:t>
      </w:r>
      <w:r>
        <w:rPr>
          <w:rFonts w:ascii="Times New Roman" w:hAnsi="Times New Roman"/>
          <w:sz w:val="20"/>
        </w:rPr>
        <w:t>”), pursuant to which, subject to the satisfaction or waiver of certain conditions and on the terms set forth therein, (i) Merger Sub Inc. will merge with and into the Company, with the Company continuing as the surviving corporation (the “</w:t>
      </w:r>
      <w:r>
        <w:rPr>
          <w:rFonts w:ascii="Times New Roman" w:hAnsi="Times New Roman"/>
          <w:b/>
          <w:sz w:val="20"/>
        </w:rPr>
        <w:t>Corporate Merger</w:t>
      </w:r>
      <w:r>
        <w:rPr>
          <w:rFonts w:ascii="Times New Roman" w:hAnsi="Times New Roman"/>
          <w:sz w:val="20"/>
        </w:rPr>
        <w:t>”) and (ii) Merger Sub LLC will merge with and into Opco, with Opco continuing as the surviving limited liability company (the “</w:t>
      </w:r>
      <w:r>
        <w:rPr>
          <w:rFonts w:ascii="Times New Roman" w:hAnsi="Times New Roman"/>
          <w:b/>
          <w:sz w:val="20"/>
        </w:rPr>
        <w:t>LLC Merger</w:t>
      </w:r>
      <w:r>
        <w:rPr>
          <w:rFonts w:ascii="Times New Roman" w:hAnsi="Times New Roman"/>
          <w:sz w:val="20"/>
        </w:rPr>
        <w:t>” and collectively with the Corporate Merger, the “</w:t>
      </w:r>
      <w:r>
        <w:rPr>
          <w:rFonts w:ascii="Times New Roman" w:hAnsi="Times New Roman"/>
          <w:b/>
          <w:sz w:val="20"/>
        </w:rPr>
        <w:t>Mergers</w:t>
      </w:r>
      <w:r>
        <w:rPr>
          <w:rFonts w:ascii="Times New Roman" w:hAnsi="Times New Roman"/>
          <w:sz w:val="20"/>
        </w:rPr>
        <w:t>”). Opco, as the surviving company of the LLC Merger, is sometimes referred to herein as the “</w:t>
      </w:r>
      <w:r>
        <w:rPr>
          <w:rFonts w:ascii="Times New Roman" w:hAnsi="Times New Roman"/>
          <w:b/>
          <w:sz w:val="20"/>
        </w:rPr>
        <w:t>Surviving LLC</w:t>
      </w:r>
      <w:r>
        <w:rPr>
          <w:rFonts w:ascii="Times New Roman" w:hAnsi="Times New Roman"/>
          <w:sz w:val="20"/>
        </w:rPr>
        <w:t>” and the Company, as the surviving corporation of the Corporate Merger, is sometimes referred to herein as the “</w:t>
      </w:r>
      <w:r>
        <w:rPr>
          <w:rFonts w:ascii="Times New Roman" w:hAnsi="Times New Roman"/>
          <w:b/>
          <w:sz w:val="20"/>
        </w:rPr>
        <w:t>Surviving Corporation</w:t>
      </w:r>
      <w:r>
        <w:rPr>
          <w:rFonts w:ascii="Times New Roman" w:hAnsi="Times New Roman"/>
          <w:sz w:val="20"/>
        </w:rPr>
        <w:t>”. Concurrently with the filing of this Schedule 13E-3, the Company is filing with the SEC a preliminary Proxy Statement (the “</w:t>
      </w:r>
      <w:r>
        <w:rPr>
          <w:rFonts w:ascii="Times New Roman" w:hAnsi="Times New Roman"/>
          <w:b/>
          <w:sz w:val="20"/>
        </w:rPr>
        <w:t>Proxy Statement</w:t>
      </w:r>
      <w:r>
        <w:rPr>
          <w:rFonts w:ascii="Times New Roman" w:hAnsi="Times New Roman"/>
          <w:sz w:val="20"/>
        </w:rPr>
        <w:t>”) under Regulation 14A of the Exchange Act, relating to a special meeting of the stockholders of the Company (the “</w:t>
      </w:r>
      <w:r>
        <w:rPr>
          <w:rFonts w:ascii="Times New Roman" w:hAnsi="Times New Roman"/>
          <w:b/>
          <w:sz w:val="20"/>
        </w:rPr>
        <w:t>Special Meeting</w:t>
      </w:r>
      <w:r>
        <w:rPr>
          <w:rFonts w:ascii="Times New Roman" w:hAnsi="Times New Roman"/>
          <w:sz w:val="20"/>
        </w:rPr>
        <w:t>”) at which the stockholders of the Company will consider and vote upon a proposal to (i) approve and adopt the Merger Agreement and the transactions contemplated thereby, including the Mergers and (ii) a proposal to adjourn the Special Meeting, if necessary or appropriate, including adjournments to solicit additional proxies if there are insufficient votes at the time of the Special Meeting to adopt the Merger Agreement. The adoption of the Merger Agreement will require (i) the affirmative vote of the holders of a majority of all of the outstanding shares of Company Common Stock entitled to vote on the adoption of the merger agreement proposal (as discussed in the Proxy Statement) and (ii) the affirmative vote of a majority of the votes cast by the disinterested stockholders (as such term is defined in Section 144 of the General Corporation Law of the State of Delaware (the “</w:t>
      </w:r>
      <w:r>
        <w:rPr>
          <w:rFonts w:ascii="Times New Roman" w:hAnsi="Times New Roman"/>
          <w:b/>
          <w:sz w:val="20"/>
        </w:rPr>
        <w:t>DGCL</w:t>
      </w:r>
      <w:r>
        <w:rPr>
          <w:rFonts w:ascii="Times New Roman" w:hAnsi="Times New Roman"/>
          <w:sz w:val="20"/>
        </w:rPr>
        <w:t>”)), which, for the avoidance of doubt, shall exclude any stockholder that is not an Unaffiliated Company Stockholder. The “</w:t>
      </w:r>
      <w:r>
        <w:rPr>
          <w:rFonts w:ascii="Times New Roman" w:hAnsi="Times New Roman"/>
          <w:b/>
          <w:sz w:val="20"/>
        </w:rPr>
        <w:t>Unaffiliated Company Stockholders</w:t>
      </w:r>
      <w:r>
        <w:rPr>
          <w:rFonts w:ascii="Times New Roman" w:hAnsi="Times New Roman"/>
          <w:sz w:val="20"/>
        </w:rPr>
        <w:t>” means the holders of shares of Company Common Stock, excluding those shares of Company Common Stock held, directly or indirectly, by or on behalf of (i) General Atlantic, its investment fund affiliates, its portfolio companies majority owned by such investment fund affiliates (with respect to which General Atlantic has the right to vote or direct the voting of such shares held by such portfolio companies) (collectively, “</w:t>
      </w:r>
      <w:r>
        <w:rPr>
          <w:rFonts w:ascii="Times New Roman" w:hAnsi="Times New Roman"/>
          <w:b/>
          <w:sz w:val="20"/>
        </w:rPr>
        <w:t>General Atlantic Controlled Portfolio Companies</w:t>
      </w:r>
      <w:r>
        <w:rPr>
          <w:rFonts w:ascii="Times New Roman" w:hAnsi="Times New Roman"/>
          <w:sz w:val="20"/>
        </w:rPr>
        <w:t xml:space="preserve">”) (excluding any Company Common Stock held by a General Atlantic Controlled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Portfolio Company (x) in trust, managed, brokerage, custodial, nominee or other customer accounts or (y) in mutual funds, open or closed end investment funds or other pooled investment vehicles (including limited partnerships and limited liability companies) sponsored, managed or advised or sub-advised by such General Atlantic Controlled Portfolio Company, in each case acquired and held in the ordinary course of the securities, commodities, derivatives, asset management, banking or similar businesses of any such General Atlantic Controlled Portfolio Company), (ii) any person that the Company has determined to be an “officer” of the Company within the meaning of Rule 16a-1(f) of the Exchange Act and (iii) those members of the Board of Directors of the Company who are not members of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Proxy Statement is attached hereto as Exhibit (a)(2)(i) and incorporated herein by reference. A copy of the Merger Agreement is attached hereto as Exhibit (d)(i) and is also included as Annex A to the preliminary Proxy Statement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Under the terms of the Merger Agreement, and subject to the conditions thereof, at the effective time of the Corporate Merger (the “</w:t>
      </w:r>
      <w:r>
        <w:rPr>
          <w:rFonts w:ascii="Times New Roman" w:hAnsi="Times New Roman"/>
          <w:b/>
          <w:sz w:val="20"/>
        </w:rPr>
        <w:t>Effective Time</w:t>
      </w:r>
      <w:r>
        <w:rPr>
          <w:rFonts w:ascii="Times New Roman" w:hAnsi="Times New Roman"/>
          <w:sz w:val="20"/>
        </w:rPr>
        <w:t>”), (i) each share of the Company’s Class A common stock, par value $0.00001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that is outstanding as of immediately prior to the Effective Time (other than Cancelled Company Class A Shares or Dissenting Company Shares) will be cancelled and extinguished and automatically converted into the right to receive cash in an amount equal to $5.80 per share of Class A Common Stock, without interest thereon (the “</w:t>
      </w:r>
      <w:r>
        <w:rPr>
          <w:rFonts w:ascii="Times New Roman" w:hAnsi="Times New Roman"/>
          <w:b/>
          <w:sz w:val="20"/>
        </w:rPr>
        <w:t>Class</w:t>
      </w:r>
      <w:r>
        <w:rPr>
          <w:rFonts w:ascii="Times New Roman" w:hAnsi="Times New Roman"/>
          <w:sz w:val="20"/>
        </w:rPr>
        <w:t> </w:t>
      </w:r>
      <w:r>
        <w:rPr>
          <w:rFonts w:ascii="Times New Roman" w:hAnsi="Times New Roman"/>
          <w:b/>
          <w:sz w:val="20"/>
        </w:rPr>
        <w:t>A Per Share Price</w:t>
      </w:r>
      <w:r>
        <w:rPr>
          <w:rFonts w:ascii="Times New Roman" w:hAnsi="Times New Roman"/>
          <w:sz w:val="20"/>
        </w:rPr>
        <w:t>”); (ii) each Cancelled Company Class A Share will be cancelled and extinguished without any conversion thereof or consideration paid therefor; (iii) each share of the Company’s Class B common stock, par value $0.00001 per share (the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together with the Class A Common Stock, the “</w:t>
      </w:r>
      <w:r>
        <w:rPr>
          <w:rFonts w:ascii="Times New Roman" w:hAnsi="Times New Roman"/>
          <w:b/>
          <w:sz w:val="20"/>
        </w:rPr>
        <w:t>Company Common Stock</w:t>
      </w:r>
      <w:r>
        <w:rPr>
          <w:rFonts w:ascii="Times New Roman" w:hAnsi="Times New Roman"/>
          <w:sz w:val="20"/>
        </w:rPr>
        <w:t>”) that is outstanding as of immediately prior to the Effective Time (other than Cancelled Company Class B Shares or Dissenting Company Shares) will be cancelled and extinguished and automatically converted into the right to receive cash in an amount equal to $0.00001 per share of Class B Common Stock (the “</w:t>
      </w:r>
      <w:r>
        <w:rPr>
          <w:rFonts w:ascii="Times New Roman" w:hAnsi="Times New Roman"/>
          <w:b/>
          <w:sz w:val="20"/>
        </w:rPr>
        <w:t>Class</w:t>
      </w:r>
      <w:r>
        <w:rPr>
          <w:rFonts w:ascii="Times New Roman" w:hAnsi="Times New Roman"/>
          <w:sz w:val="20"/>
        </w:rPr>
        <w:t> </w:t>
      </w:r>
      <w:r>
        <w:rPr>
          <w:rFonts w:ascii="Times New Roman" w:hAnsi="Times New Roman"/>
          <w:b/>
          <w:sz w:val="20"/>
        </w:rPr>
        <w:t>B Per Share Price</w:t>
      </w:r>
      <w:r>
        <w:rPr>
          <w:rFonts w:ascii="Times New Roman" w:hAnsi="Times New Roman"/>
          <w:sz w:val="20"/>
        </w:rPr>
        <w:t>”); (iv) each Cancelled Company Class B Share will be cancelled and extinguished without any conversion thereof or consideration paid therefor; and (v) the shares contributed to Parent (or any direct or indirect parent company thereof) by the GA Stockholders pursuant to the Support Agreement (the “</w:t>
      </w:r>
      <w:r>
        <w:rPr>
          <w:rFonts w:ascii="Times New Roman" w:hAnsi="Times New Roman"/>
          <w:b/>
          <w:sz w:val="20"/>
        </w:rPr>
        <w:t>GA Shares</w:t>
      </w:r>
      <w:r>
        <w:rPr>
          <w:rFonts w:ascii="Times New Roman" w:hAnsi="Times New Roman"/>
          <w:sz w:val="20"/>
        </w:rPr>
        <w:t>”) shall not be entitled to receive the Class A Per Share Price or the Class B Per Share Price and shall, immediately prior to the consummation of the transactions contemplated by the Merger Agreement (the “</w:t>
      </w:r>
      <w:r>
        <w:rPr>
          <w:rFonts w:ascii="Times New Roman" w:hAnsi="Times New Roman"/>
          <w:b/>
          <w:sz w:val="20"/>
        </w:rPr>
        <w:t>Closing</w:t>
      </w:r>
      <w:r>
        <w:rPr>
          <w:rFonts w:ascii="Times New Roman" w:hAnsi="Times New Roman"/>
          <w:sz w:val="20"/>
        </w:rPr>
        <w:t>”), be contributed, directly or indirectly, to Parent. “</w:t>
      </w:r>
      <w:r>
        <w:rPr>
          <w:rFonts w:ascii="Times New Roman" w:hAnsi="Times New Roman"/>
          <w:b/>
          <w:sz w:val="20"/>
        </w:rPr>
        <w:t>Cancelled Company Class</w:t>
      </w:r>
      <w:r>
        <w:rPr>
          <w:rFonts w:ascii="Times New Roman" w:hAnsi="Times New Roman"/>
          <w:sz w:val="20"/>
        </w:rPr>
        <w:t> </w:t>
      </w:r>
      <w:r>
        <w:rPr>
          <w:rFonts w:ascii="Times New Roman" w:hAnsi="Times New Roman"/>
          <w:b/>
          <w:sz w:val="20"/>
        </w:rPr>
        <w:t>A Shares</w:t>
      </w:r>
      <w:r>
        <w:rPr>
          <w:rFonts w:ascii="Times New Roman" w:hAnsi="Times New Roman"/>
          <w:sz w:val="20"/>
        </w:rPr>
        <w:t>” means each share of Class A Common Stock that is (A) held by the Company and its subsidiaries, including Opco (the “</w:t>
      </w:r>
      <w:r>
        <w:rPr>
          <w:rFonts w:ascii="Times New Roman" w:hAnsi="Times New Roman"/>
          <w:b/>
          <w:sz w:val="20"/>
        </w:rPr>
        <w:t>Company Group</w:t>
      </w:r>
      <w:r>
        <w:rPr>
          <w:rFonts w:ascii="Times New Roman" w:hAnsi="Times New Roman"/>
          <w:sz w:val="20"/>
        </w:rPr>
        <w:t>”) as treasury stock or otherwise; (B) owned by the Buyer Parties (including the GA Shares); (C) owned by any direct or indirect wholly owned subsidiary of the Buyer Parties as of immediately prior to the Effective Time; or (D) corresponding to an Unvested Restricted Stock Award. “</w:t>
      </w:r>
      <w:r>
        <w:rPr>
          <w:rFonts w:ascii="Times New Roman" w:hAnsi="Times New Roman"/>
          <w:b/>
          <w:sz w:val="20"/>
        </w:rPr>
        <w:t>Cancelled Company Class</w:t>
      </w:r>
      <w:r>
        <w:rPr>
          <w:rFonts w:ascii="Times New Roman" w:hAnsi="Times New Roman"/>
          <w:sz w:val="20"/>
        </w:rPr>
        <w:t> </w:t>
      </w:r>
      <w:r>
        <w:rPr>
          <w:rFonts w:ascii="Times New Roman" w:hAnsi="Times New Roman"/>
          <w:b/>
          <w:sz w:val="20"/>
        </w:rPr>
        <w:t>B Shares</w:t>
      </w:r>
      <w:r>
        <w:rPr>
          <w:rFonts w:ascii="Times New Roman" w:hAnsi="Times New Roman"/>
          <w:sz w:val="20"/>
        </w:rPr>
        <w:t xml:space="preserve">” means each share of Class B Common Stock that is (A) held by the Company Group as treasury stock or otherwise; (B) owned by the Buyer Parties (including the GA Shares); or (C) owned by any direct or indirect wholly owned subsidiary of the Buyer Parties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All shares of Company Common Stock that are issued and outstanding as of immediately prior to the Effective Time and held by Company stockholders who shall have neither voted in favor of the Transactions nor consented thereto in writing and who shall have (or for which the beneficial owner (as defined in Section 262(a) of the DGCL) shall have) properly and validly exercised their statutory rights of appraisal in respect of such shares of Company Common Stock in accordance with Section 262 of the DGCL (the “</w:t>
      </w:r>
      <w:r>
        <w:rPr>
          <w:rFonts w:ascii="Times New Roman" w:hAnsi="Times New Roman"/>
          <w:b/>
          <w:sz w:val="20"/>
        </w:rPr>
        <w:t>Dissenting Company Shares</w:t>
      </w:r>
      <w:r>
        <w:rPr>
          <w:rFonts w:ascii="Times New Roman" w:hAnsi="Times New Roman"/>
          <w:sz w:val="20"/>
        </w:rPr>
        <w:t xml:space="preserve">”) will not be converted into, or represent the right to receive, the applicable Per Share Price. Holders of Dissenting Company Shares (or beneficial owners thereof) will be entitled to receive payment of the appraised value of such Dissenting Company Shares in accordance with the provisions of Section 262 of the DGCL (a copy of which is attached hereto as Exhibit (f)), except that all Dissenting Company Shares held by Company stockholders (or beneficial owners) who shall have failed to perfect or who shall have effectively withdrawn or lost their rights to appraisal of such Dissenting Company Shares pursuant to Section 262 of the DGCL will thereupon be deemed to have been converted into, and to have become exchangeable for, as of the Effective Time, the right to receive the applicable Per Share Price, without interest thereon, upon surrender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or Uncertificated Shares that formerly evidenced such shares of Company Common Stock in the manner provided for in the Merger Agreement. </w:t>
      </w:r>
    </w:p>
    <w:p>
      <w:pPr>
        <w:pStyle w:val="TextBody"/>
        <w:bidi w:val="0"/>
        <w:spacing w:before="240" w:after="0"/>
        <w:jc w:val="left"/>
        <w:rPr>
          <w:rFonts w:ascii="Times New Roman" w:hAnsi="Times New Roman"/>
          <w:sz w:val="20"/>
        </w:rPr>
      </w:pPr>
      <w:r>
        <w:rPr>
          <w:rFonts w:ascii="Times New Roman" w:hAnsi="Times New Roman"/>
          <w:sz w:val="20"/>
        </w:rPr>
        <w:t>At the effective time of the LLC Merger (the “</w:t>
      </w:r>
      <w:r>
        <w:rPr>
          <w:rFonts w:ascii="Times New Roman" w:hAnsi="Times New Roman"/>
          <w:b/>
          <w:sz w:val="20"/>
        </w:rPr>
        <w:t>LLC Merger Effective Time</w:t>
      </w:r>
      <w:r>
        <w:rPr>
          <w:rFonts w:ascii="Times New Roman" w:hAnsi="Times New Roman"/>
          <w:sz w:val="20"/>
        </w:rPr>
        <w:t>”), (i) each common limited liability interest in Opco (the “</w:t>
      </w:r>
      <w:r>
        <w:rPr>
          <w:rFonts w:ascii="Times New Roman" w:hAnsi="Times New Roman"/>
          <w:b/>
          <w:sz w:val="20"/>
        </w:rPr>
        <w:t>Opco Common Units</w:t>
      </w:r>
      <w:r>
        <w:rPr>
          <w:rFonts w:ascii="Times New Roman" w:hAnsi="Times New Roman"/>
          <w:sz w:val="20"/>
        </w:rPr>
        <w:t>”) outstanding immediately prior to the LLC Merger Effective Time (subject to certain exceptions, including each (a) Opco Common Unit that is (x) held by Opco or any of its subsidiaries in treasury or otherwise or (y) owned by the Buyer Parties or owned by any direct or indirect wholly owned subsidiary of the Buyer Parties as of immediately prior to the LLC Merger Effective Time (each, a “</w:t>
      </w:r>
      <w:r>
        <w:rPr>
          <w:rFonts w:ascii="Times New Roman" w:hAnsi="Times New Roman"/>
          <w:b/>
          <w:sz w:val="20"/>
        </w:rPr>
        <w:t>Cancelled Opco Unit</w:t>
      </w:r>
      <w:r>
        <w:rPr>
          <w:rFonts w:ascii="Times New Roman" w:hAnsi="Times New Roman"/>
          <w:sz w:val="20"/>
        </w:rPr>
        <w:t>”) and (b) Opco Common Unit that is owned directly or indirectly by the Company (each, an “</w:t>
      </w:r>
      <w:r>
        <w:rPr>
          <w:rFonts w:ascii="Times New Roman" w:hAnsi="Times New Roman"/>
          <w:b/>
          <w:sz w:val="20"/>
        </w:rPr>
        <w:t>Excluded Opco Unit</w:t>
      </w:r>
      <w:r>
        <w:rPr>
          <w:rFonts w:ascii="Times New Roman" w:hAnsi="Times New Roman"/>
          <w:sz w:val="20"/>
        </w:rPr>
        <w:t>”)) will be cancelled and extinguished and automatically converted into the right to receive cash in an amount equal to the excess of the Class A Per Share Price over the Class B Per Share Price, without interest thereon (the “</w:t>
      </w:r>
      <w:r>
        <w:rPr>
          <w:rFonts w:ascii="Times New Roman" w:hAnsi="Times New Roman"/>
          <w:b/>
          <w:sz w:val="20"/>
        </w:rPr>
        <w:t>Opco Per Unit Price</w:t>
      </w:r>
      <w:r>
        <w:rPr>
          <w:rFonts w:ascii="Times New Roman" w:hAnsi="Times New Roman"/>
          <w:sz w:val="20"/>
        </w:rPr>
        <w:t xml:space="preserve">”), (ii) each Cancelled Opco Unit will be cancelled and extinguished without any conversion thereof or consideration paid therefor, (iii) each Excluded Opco Unit shall be unaffected by the LLC Merger and shall remain outstanding as a common unit of the Surviving LLC held by the Company and (iv) Opco Common Units held by the GAPCO AIV Interholdco (EW), L.P. and General Atlantic Partners AIV (EW), L.P. shall not be entitled to receive the Opco Per Unit Price and shall, immediately prior to the Closing, be contributed, directly or indirectly, to Parent. </w:t>
      </w:r>
    </w:p>
    <w:p>
      <w:pPr>
        <w:pStyle w:val="TextBody"/>
        <w:bidi w:val="0"/>
        <w:spacing w:before="240" w:after="0"/>
        <w:jc w:val="left"/>
        <w:rPr>
          <w:rFonts w:ascii="Times New Roman" w:hAnsi="Times New Roman"/>
          <w:sz w:val="20"/>
        </w:rPr>
      </w:pPr>
      <w:r>
        <w:rPr>
          <w:rFonts w:ascii="Times New Roman" w:hAnsi="Times New Roman"/>
          <w:sz w:val="20"/>
        </w:rPr>
        <w:t xml:space="preserve">The cross-references below are being supplied pursuant to General Instruction G to Schedule 13E-3 and show the location in the Proxy Statement of the information required to be included in response to the items of Schedule 13E-3. Pursuant to General Instruction F to Schedule 13E-3, the information contained in the Proxy Statement, including all annexes and appendices thereto, is incorporated in its entirety herein by reference, and the responses to each item in this Schedule 13E-3 are qualified in their entirety by the information contained in the Proxy Statement and the annexes and appendices thereto.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expressly defined in this Schedule 13E-3 shall have the respective meanings given to them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concerning the Company contained in, or incorporated by reference into, this Schedule 13E-3 and the Proxy Statement was supplied by the Company. Similarly, all information concerning each other Filing Person contained in, or incorporated by reference into this Schedule 13E-3 and the Proxy Statement was supplied by such Filing Person. </w:t>
      </w:r>
    </w:p>
    <w:p>
      <w:pPr>
        <w:pStyle w:val="TextBody"/>
        <w:bidi w:val="0"/>
        <w:spacing w:before="240" w:after="0"/>
        <w:jc w:val="left"/>
        <w:rPr>
          <w:rFonts w:ascii="Times New Roman" w:hAnsi="Times New Roman"/>
          <w:sz w:val="20"/>
        </w:rPr>
      </w:pPr>
      <w:r>
        <w:rPr>
          <w:rFonts w:ascii="Times New Roman" w:hAnsi="Times New Roman"/>
          <w:sz w:val="20"/>
        </w:rPr>
        <w:t xml:space="preserve">While each of the Filing Persons acknowledges that the Mergers constitute a “going private” transaction for purposes of Rule 13e-3 under the Exchange Act, the filing of this Transaction Statement shall not be construed as an admission by any Filing Person, or by any affiliate of a Filing Person, that the Company is “controlled” by any Filing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1021"/>
        <w:gridCol w:w="8778"/>
      </w:tblGrid>
      <w:tr>
        <w:trPr/>
        <w:tc>
          <w:tcPr>
            <w:tcW w:w="406"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b/>
              </w:rPr>
            </w:pPr>
            <w:r>
              <w:rPr>
                <w:b/>
              </w:rPr>
              <w:t>Item 1.</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Term Sheet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2.</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Subject Company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Name and Address. The information set forth in the Proxy Statement under the following caption is incorporated herein by reference: </w:t>
      </w:r>
    </w:p>
    <w:p>
      <w:pPr>
        <w:pStyle w:val="TextBody"/>
        <w:bidi w:val="0"/>
        <w:spacing w:before="240" w:after="0"/>
        <w:jc w:val="left"/>
        <w:rPr/>
      </w:pPr>
      <w:r>
        <w:rPr/>
        <w:t>“</w:t>
      </w:r>
      <w:r>
        <w:rPr>
          <w:rFonts w:ascii="Times New Roman" w:hAnsi="Times New Roman"/>
          <w:i/>
          <w:sz w:val="20"/>
        </w:rPr>
        <w:t>PARTIES TO THE MERGERS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Securities.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w:t>
      </w:r>
      <w:r>
        <w:rPr>
          <w:rFonts w:ascii="Times New Roman" w:hAnsi="Times New Roman"/>
          <w:sz w:val="20"/>
        </w:rPr>
        <w:t xml:space="preserve"> – </w:t>
      </w:r>
      <w:r>
        <w:rPr>
          <w:rFonts w:ascii="Times New Roman" w:hAnsi="Times New Roman"/>
          <w:i/>
          <w:sz w:val="20"/>
        </w:rPr>
        <w:t>Market Price of Shares of Company</w:t>
      </w:r>
      <w:r>
        <w:rPr>
          <w:rFonts w:ascii="Times New Roman" w:hAnsi="Times New Roman"/>
          <w:sz w:val="20"/>
        </w:rPr>
        <w:t> </w:t>
      </w:r>
      <w:r>
        <w:rPr>
          <w:rFonts w:ascii="Times New Roman" w:hAnsi="Times New Roman"/>
          <w:i/>
          <w:sz w:val="20"/>
        </w:rPr>
        <w:t>Common Stock and Dividends”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w:t>
      </w:r>
      <w:r>
        <w:rPr>
          <w:rFonts w:ascii="Times New Roman" w:hAnsi="Times New Roman"/>
          <w:sz w:val="20"/>
        </w:rPr>
        <w:t> – </w:t>
      </w:r>
      <w:r>
        <w:rPr>
          <w:rFonts w:ascii="Times New Roman" w:hAnsi="Times New Roman"/>
          <w:i/>
          <w:sz w:val="20"/>
        </w:rPr>
        <w:t>Security Ownership of Certain Beneficial Owners and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Trading Market and Price. The information set forth in the Proxy Statement under the following caption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Market Price of Shares of Company Common Stock and 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Dividends. The information set forth in the Proxy Statement under the following caption is incorporated herein by reference: </w:t>
      </w:r>
    </w:p>
    <w:p>
      <w:pPr>
        <w:pStyle w:val="TextBody"/>
        <w:bidi w:val="0"/>
        <w:spacing w:before="120" w:after="0"/>
        <w:jc w:val="left"/>
        <w:rPr/>
      </w:pPr>
      <w:r>
        <w:rPr/>
        <w:t>“</w:t>
      </w:r>
      <w:r>
        <w:rPr>
          <w:rFonts w:ascii="Times New Roman" w:hAnsi="Times New Roman"/>
          <w:i/>
          <w:sz w:val="20"/>
        </w:rPr>
        <w:t>OTHER IMPORTANT INFORMATION REGARDING THE COMPANY – Market Price of Shares of Company Common Stock and Dividends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Dividends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Prior Public Offerings. The information set forth in the Proxy Statement under the following caption is incorporated herein by reference: </w:t>
      </w:r>
    </w:p>
    <w:p>
      <w:pPr>
        <w:pStyle w:val="TextBody"/>
        <w:bidi w:val="0"/>
        <w:spacing w:before="120" w:after="0"/>
        <w:jc w:val="left"/>
        <w:rPr/>
      </w:pPr>
      <w:r>
        <w:rPr/>
        <w:t>“</w:t>
      </w:r>
      <w:r>
        <w:rPr>
          <w:rFonts w:ascii="Times New Roman" w:hAnsi="Times New Roman"/>
          <w:i/>
          <w:sz w:val="20"/>
        </w:rPr>
        <w:t>OTHER IMPORTANT INFORMATION REGARDING THE COMPANY– Prior Public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Prior Stock Purchases. The information set forth in the Proxy Statement under the following caption is incorporated herein by reference: </w:t>
      </w:r>
    </w:p>
    <w:p>
      <w:pPr>
        <w:pStyle w:val="TextBody"/>
        <w:bidi w:val="0"/>
        <w:spacing w:before="120" w:after="0"/>
        <w:jc w:val="left"/>
        <w:rPr/>
      </w:pPr>
      <w:r>
        <w:rPr/>
        <w:t>“</w:t>
      </w:r>
      <w:r>
        <w:rPr>
          <w:rFonts w:ascii="Times New Roman" w:hAnsi="Times New Roman"/>
          <w:i/>
          <w:sz w:val="20"/>
        </w:rPr>
        <w:t>OTHER IMPORTANT INFORMATION REGARDING THE COMPANY – Stock Repurchases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Certain Transactions in the Shares of Company Common Stock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3.</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of Filing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 Name and Address; Business and Background of Entities; Business and Background of Natural Persons. European Wax Center, Inc. is the subject company.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PARTIES TO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BUYER FILING PARTIES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4.</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Terms of the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(a)(1) Material Terms. Tender Offers.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(a)(2) Material Terms. Mergers or Similar Transactions.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Treatment of Company Equity Awards and Company Restricted Stock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Treatment of Company Shares and Company Equity Awards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Material U.S. Federal Income Tax Consequences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Limited Guarantee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Accounting Treatment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Vote Required</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(c) Different Terms.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w:t>
      </w:r>
      <w:r>
        <w:rPr>
          <w:rFonts w:ascii="Times New Roman" w:hAnsi="Times New Roman"/>
          <w:sz w:val="20"/>
        </w:rPr>
        <w:t xml:space="preserve">ers”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Employee Benefits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Annex A – Agreement and Plan of Merger</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(d) Appraisal Rights.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Appraisal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THE MERGER AGREEMENT – Merger Consideration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Appraisal Rights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MERGERS (THE MERGER AGREEMENT PROPOSAL – PROPOSAL 1) – Appraisal Rights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(e) Provisions for Unaffiliated Security Holders.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PROVISIONS FOR UNAFFILIATED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Eligibility for Listing or Trading.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5.</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Past Contacts, Transactions, Negotiations and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Transactions.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of Paired Interests in Connection with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Certain Transactions in the Shares of Company Common Stock</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(b) Significant Corporate Events.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of Paired Interests in Connection with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SPECIAL FACTORS – Limited Guarantee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rPr>
        <w:t xml:space="preserve">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Negotiations or Contacts.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Agreements Involving the Subject Company’s Securities.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Directors and Executive Officers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General Atlantic Filing Parties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of Paired Interests in Connection with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Limited Guarantee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Certain Transactions in the Shares of Company Common Stock</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Stockholders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6.</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of the Transaction and Plans or Proposals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Use of Securities Acquired.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and Payment Procedures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DELISTING AND DEREGISTRATION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(c)(1)–(8) Plans.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Directors and Executive Officers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General Atlantic Filing Parties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Limited Guarantee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DELISTING AND DEREGISTRATION OF COMMON STOCK</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Annex A – Agreement and Plan of Merger</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7.</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Alternatives, Reasons and Effects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Purposes.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Alternatives.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on the Company if the Mergers are not Completed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Reasons.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Opinion of the Special Committee’s Financial Advisor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C – Opinion of Moelis &amp; Company LLC </w:t>
      </w:r>
    </w:p>
    <w:p>
      <w:pPr>
        <w:pStyle w:val="TextBody"/>
        <w:bidi w:val="0"/>
        <w:spacing w:before="240" w:after="0"/>
        <w:jc w:val="left"/>
        <w:rPr>
          <w:rFonts w:ascii="Times New Roman" w:hAnsi="Times New Roman"/>
          <w:sz w:val="20"/>
        </w:rPr>
      </w:pPr>
      <w:r>
        <w:rPr>
          <w:rFonts w:ascii="Times New Roman" w:hAnsi="Times New Roman"/>
          <w:sz w:val="20"/>
        </w:rPr>
        <w:t xml:space="preserve">(d) Effects.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Plans for the Company and Opco After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Certain Effects of the Mergers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SPECIAL FACTORS – Certain Effects on the Company if the Mergers are not Completed</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of Paired Interests in Connection with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Material U.S. Federal Income Tax Consequences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Fees and Expenses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Accounting Treatment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and Payment Procedures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DELISTING AND DEREGISTRATION OF COMMON STOCK</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8.</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Fairness of the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(b) Fairness; Factors Considered in Determining Fairness.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Opinion of the Special Committee’s Financial Advisor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C – Opinion of Moelis &amp; Company LLC </w:t>
      </w:r>
    </w:p>
    <w:p>
      <w:pPr>
        <w:pStyle w:val="TextBody"/>
        <w:bidi w:val="0"/>
        <w:spacing w:before="240" w:after="0"/>
        <w:jc w:val="left"/>
        <w:rPr>
          <w:rFonts w:ascii="Times New Roman" w:hAnsi="Times New Roman"/>
          <w:sz w:val="20"/>
        </w:rPr>
      </w:pPr>
      <w:r>
        <w:rPr>
          <w:rFonts w:ascii="Times New Roman" w:hAnsi="Times New Roman"/>
          <w:sz w:val="20"/>
        </w:rPr>
        <w:t xml:space="preserve">(c) Approval of Security Holders.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Conditions to the Closing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Record Date and Quorum</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Vote Required</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Voting Intentions of the Company’s Directors and Executive Officers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THE SPECIAL MEETING – How to Vote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Proxies and Revocation</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(d) Unaffiliated Representative.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Opinion of the Special Committee’s Financial Advisor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PROVISIONS FOR UNAFFILIATED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Approval of Directors.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Other Offers.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Solicitation of Other Offers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Recommendation Changes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1"/>
        <w:gridCol w:w="8777"/>
      </w:tblGrid>
      <w:tr>
        <w:trPr/>
        <w:tc>
          <w:tcPr>
            <w:tcW w:w="407"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b/>
              </w:rPr>
            </w:pPr>
            <w:r>
              <w:rPr>
                <w:b/>
              </w:rPr>
              <w:t>Item 9.</w:t>
            </w:r>
          </w:p>
        </w:tc>
        <w:tc>
          <w:tcPr>
            <w:tcW w:w="877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Reports, Opinions, Appraisals and Negotiations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 Report, Opinion or Appraisal; Preparer and Summary of the Report, Opinion or Appraisal; Availability of Documents.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Opinion of the Special Committee’s Financial Advisor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C – Opinion of Moelis &amp; Company LLC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1020"/>
        <w:gridCol w:w="8779"/>
      </w:tblGrid>
      <w:tr>
        <w:trPr/>
        <w:tc>
          <w:tcPr>
            <w:tcW w:w="406"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10.</w:t>
            </w:r>
          </w:p>
        </w:tc>
        <w:tc>
          <w:tcPr>
            <w:tcW w:w="87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(b) Source of Funds; Conditions.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Limited Guarantee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Exchange and Payment Procedures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Effect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Closing, Effective Time and LLC Merger Effective Time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Conduct of Business Pending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Conditions to the Closing of the Mergers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(c) Expenses.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Fees and Expenses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Termination of 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Termination Fees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 – Fees and Expenses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Solicitation of Proxies; Payment of Solicitation Expenses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(d) Borrowed Funds. </w:t>
      </w:r>
    </w:p>
    <w:p>
      <w:pPr>
        <w:pStyle w:val="TextBody"/>
        <w:bidi w:val="0"/>
        <w:spacing w:before="120" w:after="0"/>
        <w:jc w:val="left"/>
        <w:rPr/>
      </w:pPr>
      <w:r>
        <w:rPr/>
        <w:t>“</w:t>
      </w:r>
      <w:r>
        <w:rPr>
          <w:rFonts w:ascii="Times New Roman" w:hAnsi="Times New Roman"/>
          <w:i/>
          <w:sz w:val="20"/>
        </w:rPr>
        <w:t>SPECIAL FACTORS – Financing of the Mergers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19"/>
        <w:gridCol w:w="8779"/>
      </w:tblGrid>
      <w:tr>
        <w:trPr/>
        <w:tc>
          <w:tcPr>
            <w:tcW w:w="407"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b/>
              </w:rPr>
            </w:pPr>
            <w:r>
              <w:rPr>
                <w:b/>
              </w:rPr>
              <w:t>Item 11.</w:t>
            </w:r>
          </w:p>
        </w:tc>
        <w:tc>
          <w:tcPr>
            <w:tcW w:w="87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Subject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Securities Ownership.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Record Date and Quorum</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Security Ownership of Certain Beneficial Owners and Management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BUYER FILING PARTIES – General Atlantic Filing Parties</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(b) Securities Transactions.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Stock Repurchases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Certain Transactions in the Shares of Company Common Stock</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A – Agreement and Plan of Merger </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1021"/>
        <w:gridCol w:w="8778"/>
      </w:tblGrid>
      <w:tr>
        <w:trPr/>
        <w:tc>
          <w:tcPr>
            <w:tcW w:w="406"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b/>
              </w:rPr>
            </w:pPr>
            <w:r>
              <w:rPr>
                <w:b/>
              </w:rPr>
              <w:t>Item 12.</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Solicitation or Recommendation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Intent to Tender or Vote in a Going–Private Transaction.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Directors and Executive Officers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Intent of the General Atlantic Filing Parties to Vote in Favor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Support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Record Date and Quorum</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Voting Intentions of the Company’s Directors and Executive Officers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Directors and Executive Officers of the Company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OTHER IMPORTANT INFORMATION REGARDING THE COMPANY – Security Ownership of Certain Beneficial Owners and Management</w:t>
      </w:r>
      <w:r>
        <w:rPr>
          <w:rFonts w:ascii="Times New Roman" w:hAnsi="Times New Roman"/>
          <w:sz w:val="20"/>
        </w:rPr>
        <w:t xml:space="preserve">” </w:t>
      </w:r>
    </w:p>
    <w:p>
      <w:pPr>
        <w:pStyle w:val="TextBody"/>
        <w:bidi w:val="0"/>
        <w:spacing w:before="120" w:after="0"/>
        <w:jc w:val="left"/>
        <w:rPr>
          <w:rFonts w:ascii="Times New Roman" w:hAnsi="Times New Roman"/>
          <w:i/>
          <w:sz w:val="20"/>
        </w:rPr>
      </w:pPr>
      <w:r>
        <w:rPr>
          <w:rFonts w:ascii="Times New Roman" w:hAnsi="Times New Roman"/>
          <w:i/>
          <w:sz w:val="20"/>
        </w:rPr>
        <w:t xml:space="preserve">Annex B –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(e) Recommendation of Others.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Position of the General Atlantic Filing Parties as to the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General Atlantic Filing Parties for the Mergers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1020"/>
        <w:gridCol w:w="8779"/>
      </w:tblGrid>
      <w:tr>
        <w:trPr/>
        <w:tc>
          <w:tcPr>
            <w:tcW w:w="406"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13.</w:t>
            </w:r>
          </w:p>
        </w:tc>
        <w:tc>
          <w:tcPr>
            <w:tcW w:w="87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(a) Financial Information. The audited consolidated financial statements of the Company for the fiscal years ended January 3, 2026 and January 4, 2025 are incorporated herein by reference to the Company’s Annual Report on Form 10–K for the fiscal year ended January 3, 2026 (the “</w:t>
      </w:r>
      <w:r>
        <w:rPr>
          <w:rFonts w:ascii="Times New Roman" w:hAnsi="Times New Roman"/>
          <w:b/>
          <w:sz w:val="20"/>
        </w:rPr>
        <w:t>FY25 Form 10-K</w:t>
      </w:r>
      <w:r>
        <w:rPr>
          <w:rFonts w:ascii="Times New Roman" w:hAnsi="Times New Roman"/>
          <w:sz w:val="20"/>
        </w:rPr>
        <w:t xml:space="preserve">”), filed on March 4, 2026 (see “Item 8. Financial Statements and Supplementary Data” beginning on page 59 of the FY25 Form 10-K).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Book Value Per Share</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OTHER IMPORTANT INFORMATION REGARDING THE COMPANY – Selected Historical Consolidated Financial Data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Pro Forma Information.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1021"/>
        <w:gridCol w:w="8778"/>
      </w:tblGrid>
      <w:tr>
        <w:trPr/>
        <w:tc>
          <w:tcPr>
            <w:tcW w:w="406" w:type="dxa"/>
            <w:tcBorders/>
            <w:vAlign w:val="center"/>
          </w:tcPr>
          <w:p>
            <w:pPr>
              <w:pStyle w:val="TableContents"/>
              <w:bidi w:val="0"/>
              <w:spacing w:before="0" w:after="283"/>
              <w:jc w:val="left"/>
              <w:rPr/>
            </w:pPr>
            <w:r>
              <w:rPr/>
              <w:t> </w:t>
            </w:r>
          </w:p>
        </w:tc>
        <w:tc>
          <w:tcPr>
            <w:tcW w:w="1021" w:type="dxa"/>
            <w:tcBorders/>
          </w:tcPr>
          <w:p>
            <w:pPr>
              <w:pStyle w:val="TableContents"/>
              <w:bidi w:val="0"/>
              <w:spacing w:before="0" w:after="283"/>
              <w:jc w:val="left"/>
              <w:rPr>
                <w:b/>
              </w:rPr>
            </w:pPr>
            <w:r>
              <w:rPr>
                <w:b/>
              </w:rPr>
              <w:t>Item 14.</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Persons/Assets, Retained, Employed, Compensated or Used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Solicitations or Recommendations.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Purpose and Reasons of the Company for the Mergers; Recommendation of the Board and the Special Committee; Fairness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Fees and Expenses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Solicitation of Proxies; Payment of Solicitation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Employees and Corporate Assets. The information set forth in the Proxy Statement under the following captions is incorporated herein by reference: </w:t>
      </w:r>
    </w:p>
    <w:p>
      <w:pPr>
        <w:pStyle w:val="TextBody"/>
        <w:bidi w:val="0"/>
        <w:spacing w:before="120" w:after="0"/>
        <w:jc w:val="left"/>
        <w:rPr/>
      </w:pPr>
      <w:r>
        <w:rPr/>
        <w:t>“</w:t>
      </w:r>
      <w:r>
        <w:rPr>
          <w:rFonts w:ascii="Times New Roman" w:hAnsi="Times New Roman"/>
          <w:i/>
          <w:sz w:val="20"/>
        </w:rPr>
        <w:t>SUMMARY TERM SHEET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QUESTIONS AND ANSWERS ABOUT THE PROPOSALS AND 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Background of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SPECIAL FACTORS – Interests of Executive Officers and Directors of the Company in the Mergers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i/>
          <w:sz w:val="20"/>
        </w:rPr>
        <w:t>THE SPECIAL MEETING – Solicitation of Proxies; Payment of Solicitation Expenses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20"/>
        <w:gridCol w:w="8778"/>
      </w:tblGrid>
      <w:tr>
        <w:trPr/>
        <w:tc>
          <w:tcPr>
            <w:tcW w:w="407" w:type="dxa"/>
            <w:tcBorders/>
            <w:vAlign w:val="center"/>
          </w:tcPr>
          <w:p>
            <w:pPr>
              <w:pStyle w:val="TableContents"/>
              <w:bidi w:val="0"/>
              <w:spacing w:before="0" w:after="283"/>
              <w:jc w:val="left"/>
              <w:rPr/>
            </w:pPr>
            <w:r>
              <w:rPr/>
              <w:t> </w:t>
            </w:r>
          </w:p>
        </w:tc>
        <w:tc>
          <w:tcPr>
            <w:tcW w:w="1020" w:type="dxa"/>
            <w:tcBorders/>
          </w:tcPr>
          <w:p>
            <w:pPr>
              <w:pStyle w:val="TableContents"/>
              <w:bidi w:val="0"/>
              <w:spacing w:before="0" w:after="283"/>
              <w:jc w:val="left"/>
              <w:rPr>
                <w:b/>
              </w:rPr>
            </w:pPr>
            <w:r>
              <w:rPr>
                <w:b/>
              </w:rPr>
              <w:t>Item 15.</w:t>
            </w:r>
          </w:p>
        </w:tc>
        <w:tc>
          <w:tcPr>
            <w:tcW w:w="87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Golden Parachute Compensation.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(c) Other Material Information. The entirety of the Proxy Statement, including all annexes and appendices thereto,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19"/>
        <w:gridCol w:w="8779"/>
      </w:tblGrid>
      <w:tr>
        <w:trPr/>
        <w:tc>
          <w:tcPr>
            <w:tcW w:w="407" w:type="dxa"/>
            <w:tcBorders/>
            <w:vAlign w:val="center"/>
          </w:tcPr>
          <w:p>
            <w:pPr>
              <w:pStyle w:val="TableContents"/>
              <w:bidi w:val="0"/>
              <w:spacing w:before="0" w:after="283"/>
              <w:jc w:val="left"/>
              <w:rPr/>
            </w:pPr>
            <w:r>
              <w:rPr/>
              <w:t> </w:t>
            </w:r>
          </w:p>
        </w:tc>
        <w:tc>
          <w:tcPr>
            <w:tcW w:w="1019" w:type="dxa"/>
            <w:tcBorders/>
          </w:tcPr>
          <w:p>
            <w:pPr>
              <w:pStyle w:val="TableContents"/>
              <w:bidi w:val="0"/>
              <w:spacing w:before="0" w:after="283"/>
              <w:jc w:val="left"/>
              <w:rPr>
                <w:b/>
              </w:rPr>
            </w:pPr>
            <w:r>
              <w:rPr>
                <w:b/>
              </w:rPr>
              <w:t>Item 16.</w:t>
            </w:r>
          </w:p>
        </w:tc>
        <w:tc>
          <w:tcPr>
            <w:tcW w:w="87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6"/>
        <w:gridCol w:w="705"/>
        <w:gridCol w:w="8294"/>
      </w:tblGrid>
      <w:tr>
        <w:trPr/>
        <w:tc>
          <w:tcPr>
            <w:tcW w:w="1206" w:type="dxa"/>
            <w:tcBorders/>
            <w:vAlign w:val="center"/>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8294" w:type="dxa"/>
            <w:tcBorders/>
            <w:vAlign w:val="center"/>
          </w:tcPr>
          <w:p>
            <w:pPr>
              <w:pStyle w:val="TableContents"/>
              <w:bidi w:val="0"/>
              <w:spacing w:before="0" w:after="283"/>
              <w:jc w:val="left"/>
              <w:rPr>
                <w:sz w:val="4"/>
                <w:szCs w:val="4"/>
              </w:rPr>
            </w:pPr>
            <w:r>
              <w:rPr>
                <w:sz w:val="4"/>
                <w:szCs w:val="4"/>
              </w:rPr>
            </w:r>
          </w:p>
        </w:tc>
      </w:tr>
      <w:tr>
        <w:trPr/>
        <w:tc>
          <w:tcPr>
            <w:tcW w:w="1206"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705" w:type="dxa"/>
            <w:tcBorders/>
            <w:vAlign w:val="bottom"/>
          </w:tcPr>
          <w:p>
            <w:pPr>
              <w:pStyle w:val="TableContents"/>
              <w:bidi w:val="0"/>
              <w:spacing w:before="0" w:after="283"/>
              <w:jc w:val="left"/>
              <w:rPr/>
            </w:pPr>
            <w:r>
              <w:rPr/>
              <w:t> </w:t>
            </w:r>
          </w:p>
        </w:tc>
        <w:tc>
          <w:tcPr>
            <w:tcW w:w="82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2">
              <w:r>
                <w:rPr>
                  <w:rStyle w:val="InternetLink"/>
                </w:rPr>
                <w:t>Preliminary Proxy Statement of European Wax Center, Inc. (included in the Schedule 14A filed on March  30, 2026, and incorporated herein by reference) (the “</w:t>
              </w:r>
            </w:hyperlink>
            <w:hyperlink r:id="rId3">
              <w:r>
                <w:rPr>
                  <w:rStyle w:val="InternetLink"/>
                  <w:b/>
                </w:rPr>
                <w:t>Preliminary Proxy Statement</w:t>
              </w:r>
            </w:hyperlink>
            <w:hyperlink r:id="rId4">
              <w:r>
                <w:rPr>
                  <w:rStyle w:val="InternetLink"/>
                </w:rPr>
                <w:t>”).</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5">
              <w:r>
                <w:rPr>
                  <w:rStyle w:val="InternetLink"/>
                </w:rPr>
                <w:t xml:space="preserve">Form of Proxy Card (included in the Preliminary Proxy Statement and incorporated herein by reference).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(a)(2)(iii)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6">
              <w:r>
                <w:rPr>
                  <w:rStyle w:val="InternetLink"/>
                </w:rPr>
                <w:t xml:space="preserve">Letter to Stockholders (included in the Preliminary Proxy Statement and incorporated herein by reference).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(a)(2)(iv)</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7">
              <w:r>
                <w:rPr>
                  <w:rStyle w:val="InternetLink"/>
                </w:rPr>
                <w:t>Notice of Special Meeting of Stockholders (included in the Preliminary Proxy Statement and incorporated herein by reference).</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(a)(2)(v)</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8">
              <w:r>
                <w:rPr>
                  <w:rStyle w:val="InternetLink"/>
                </w:rPr>
                <w:t xml:space="preserve">Current Report on Form 8–K, dated February 10, 2026 (included in Schedule 14A filed on February  10, 2026 and incorporated herein by reference).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(a)(2)(vi)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9">
              <w:r>
                <w:rPr>
                  <w:rStyle w:val="InternetLink"/>
                </w:rPr>
                <w:t xml:space="preserve">Email to EWC Associates, dated February 10, 2026 (included in Schedule 14A filed on February  10, 2026 and incorporated herein by reference).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(a)(2)(vii)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0">
              <w:r>
                <w:rPr>
                  <w:rStyle w:val="InternetLink"/>
                </w:rPr>
                <w:t xml:space="preserve">Email to Franchisees, dated February 10, 2026 (included in Schedule 14A filed on February  10, 2026 and incorporated herein by reference).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(a)(5)(i)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1">
              <w:r>
                <w:rPr>
                  <w:rStyle w:val="InternetLink"/>
                </w:rPr>
                <w:t xml:space="preserve">Press Release, dated February 10, 2026 (incorporated by reference to Exhibit 99.1 to the Company’s Form 8-K (filed February 10, 2026) (File No. 001–40714)).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(b)(i)*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2">
              <w:r>
                <w:rPr>
                  <w:rStyle w:val="InternetLink"/>
                </w:rPr>
                <w:t>Debt Commitment Letter, dated February 9, 2026, from HPS Investment Partners, LLC and accepted and agreed to by Glow Midco, LLC.</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r>
              <w:fldChar w:fldCharType="begin"/>
            </w:r>
            <w:r>
              <w:rPr>
                <w:rStyle w:val="InternetLink"/>
              </w:rPr>
              <w:instrText xml:space="preserve"> HYPERLINK "http://www.sec.gov/Archives/edgar/data/1856236/000119312526132086/d118454dprer14a.htm" \l "toc1118454_106"</w:instrText>
            </w:r>
            <w:r>
              <w:rPr>
                <w:rStyle w:val="InternetLink"/>
              </w:rPr>
              <w:fldChar w:fldCharType="separate"/>
            </w:r>
            <w:r>
              <w:rPr>
                <w:rStyle w:val="InternetLink"/>
              </w:rPr>
              <w:t xml:space="preserve">Opinion of Moelis &amp; Company LLC, dated February  9, 2026 (included as Annex C to the Preliminary Proxy Statement, and incorporated herein by reference). </w:t>
            </w:r>
            <w:r>
              <w:rPr>
                <w:rStyle w:val="InternetLink"/>
              </w:rPr>
              <w:fldChar w:fldCharType="end"/>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3">
              <w:r>
                <w:rPr>
                  <w:rStyle w:val="InternetLink"/>
                </w:rPr>
                <w:t>The Presentation of Moelis &amp; Company LLC to the Special Committee, dated December 23, 2025.</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(c)(iii)*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4">
              <w:r>
                <w:rPr>
                  <w:rStyle w:val="InternetLink"/>
                </w:rPr>
                <w:t xml:space="preserve">The Presentation of Moelis &amp; Company LLC to the Special Committee, dated January 6, 2026.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(c)(iv)*</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5">
              <w:r>
                <w:rPr>
                  <w:rStyle w:val="InternetLink"/>
                </w:rPr>
                <w:t xml:space="preserve">The Presentation of Moelis &amp; Company LLC to the Special Committee, dated January 13, 2026.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(c)(v)*</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6">
              <w:r>
                <w:rPr>
                  <w:rStyle w:val="InternetLink"/>
                </w:rPr>
                <w:t>The Presentation of Moelis &amp; Company LLC to the Special Committee, dated January 27,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06"/>
        <w:gridCol w:w="705"/>
        <w:gridCol w:w="8294"/>
      </w:tblGrid>
      <w:tr>
        <w:trPr/>
        <w:tc>
          <w:tcPr>
            <w:tcW w:w="1206" w:type="dxa"/>
            <w:tcBorders/>
            <w:vAlign w:val="center"/>
          </w:tcPr>
          <w:p>
            <w:pPr>
              <w:pStyle w:val="TableContents"/>
              <w:bidi w:val="0"/>
              <w:spacing w:before="0" w:after="283"/>
              <w:jc w:val="left"/>
              <w:rPr>
                <w:sz w:val="4"/>
                <w:szCs w:val="4"/>
              </w:rPr>
            </w:pPr>
            <w:r>
              <w:rPr>
                <w:sz w:val="4"/>
                <w:szCs w:val="4"/>
              </w:rPr>
            </w:r>
          </w:p>
        </w:tc>
        <w:tc>
          <w:tcPr>
            <w:tcW w:w="705" w:type="dxa"/>
            <w:tcBorders/>
            <w:vAlign w:val="bottom"/>
          </w:tcPr>
          <w:p>
            <w:pPr>
              <w:pStyle w:val="TableContents"/>
              <w:bidi w:val="0"/>
              <w:spacing w:before="0" w:after="283"/>
              <w:jc w:val="left"/>
              <w:rPr>
                <w:sz w:val="4"/>
                <w:szCs w:val="4"/>
              </w:rPr>
            </w:pPr>
            <w:r>
              <w:rPr>
                <w:sz w:val="4"/>
                <w:szCs w:val="4"/>
              </w:rPr>
            </w:r>
          </w:p>
        </w:tc>
        <w:tc>
          <w:tcPr>
            <w:tcW w:w="8294" w:type="dxa"/>
            <w:tcBorders/>
            <w:vAlign w:val="center"/>
          </w:tcPr>
          <w:p>
            <w:pPr>
              <w:pStyle w:val="TableContents"/>
              <w:bidi w:val="0"/>
              <w:spacing w:before="0" w:after="283"/>
              <w:jc w:val="left"/>
              <w:rPr>
                <w:sz w:val="4"/>
                <w:szCs w:val="4"/>
              </w:rPr>
            </w:pPr>
            <w:r>
              <w:rPr>
                <w:sz w:val="4"/>
                <w:szCs w:val="4"/>
              </w:rPr>
            </w:r>
          </w:p>
        </w:tc>
      </w:tr>
      <w:tr>
        <w:trPr/>
        <w:tc>
          <w:tcPr>
            <w:tcW w:w="1206"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705" w:type="dxa"/>
            <w:tcBorders/>
            <w:vAlign w:val="bottom"/>
          </w:tcPr>
          <w:p>
            <w:pPr>
              <w:pStyle w:val="TableContents"/>
              <w:bidi w:val="0"/>
              <w:spacing w:before="0" w:after="283"/>
              <w:jc w:val="left"/>
              <w:rPr/>
            </w:pPr>
            <w:r>
              <w:rPr/>
              <w:t> </w:t>
            </w:r>
          </w:p>
        </w:tc>
        <w:tc>
          <w:tcPr>
            <w:tcW w:w="82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(c)(vi)*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7">
              <w:r>
                <w:rPr>
                  <w:rStyle w:val="InternetLink"/>
                </w:rPr>
                <w:t xml:space="preserve">The Presentation of Moelis &amp; Company LLC to the Special Committee, dated February 9, 2026.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(d)(i)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r>
              <w:fldChar w:fldCharType="begin"/>
            </w:r>
            <w:r>
              <w:rPr>
                <w:rStyle w:val="InternetLink"/>
              </w:rPr>
              <w:instrText xml:space="preserve"> HYPERLINK "http://www.sec.gov/Archives/edgar/data/1856236/000119312526132086/d118454dprer14a.htm" \l "toc1118454_104"</w:instrText>
            </w:r>
            <w:r>
              <w:rPr>
                <w:rStyle w:val="InternetLink"/>
              </w:rPr>
              <w:fldChar w:fldCharType="separate"/>
            </w:r>
            <w:r>
              <w:rPr>
                <w:rStyle w:val="InternetLink"/>
              </w:rPr>
              <w:t>Agreement and Plan of Merger, dated February  9, 2026 by and among European Wax Center Inc., EWC Ventures, LLC, Glow Midco, LLC, Glow Merger Sub 1, Inc. and Glow Merger Sub 2, LLC (included as Annex A to the Preliminary Proxy Statement, and incorporated herein by reference).</w:t>
            </w:r>
            <w:r>
              <w:rPr>
                <w:rStyle w:val="InternetLink"/>
              </w:rPr>
              <w:fldChar w:fldCharType="end"/>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(d)(ii)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r>
              <w:fldChar w:fldCharType="begin"/>
            </w:r>
            <w:r>
              <w:rPr>
                <w:rStyle w:val="InternetLink"/>
              </w:rPr>
              <w:instrText xml:space="preserve"> HYPERLINK "http://www.sec.gov/Archives/edgar/data/1856236/000119312526132086/d118454dprer14a.htm" \l "toc1118454_105"</w:instrText>
            </w:r>
            <w:r>
              <w:rPr>
                <w:rStyle w:val="InternetLink"/>
              </w:rPr>
              <w:fldChar w:fldCharType="separate"/>
            </w:r>
            <w:r>
              <w:rPr>
                <w:rStyle w:val="InternetLink"/>
              </w:rPr>
              <w:t>Support Agreement, dated February  9, 2026, by and among European Wax Center, Inc., Glow Midco, LLC, and the stockholders party thereto (included as Annex B to the Preliminary Proxy Statement, and incorporated herein by reference).</w:t>
            </w:r>
            <w:r>
              <w:rPr>
                <w:rStyle w:val="InternetLink"/>
              </w:rPr>
              <w:fldChar w:fldCharType="end"/>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(d)(iii)*</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8">
              <w:r>
                <w:rPr>
                  <w:rStyle w:val="InternetLink"/>
                </w:rPr>
                <w:t xml:space="preserve">Equity Commitment Letter, dated February  9, 2026, from General Atlantic Partners 100, L.P. and accepted and agreed to by Glow Midco, LLC.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(d)(iv)</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19">
              <w:r>
                <w:rPr>
                  <w:rStyle w:val="InternetLink"/>
                </w:rPr>
                <w:t xml:space="preserve">Stockholders Agreement, dated as of August 4, 2021, by and among European Wax Center, Inc. and the stockholders named therein (incorporated by reference to Exhibit 10.3 to the Registrant’s Quarterly Report on Form 10-Q filed on September 14, 2021).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(f)*</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20">
              <w:r>
                <w:rPr>
                  <w:rStyle w:val="InternetLink"/>
                </w:rPr>
                <w:t xml:space="preserve">Section 262 of the DGCL. </w:t>
              </w:r>
            </w:hyperlink>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(g)</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r>
              <w:rPr/>
              <w:t>Not Applicable.</w:t>
            </w:r>
          </w:p>
        </w:tc>
      </w:tr>
      <w:tr>
        <w:trPr>
          <w:trHeight w:val="120" w:hRule="atLeast"/>
        </w:trPr>
        <w:tc>
          <w:tcPr>
            <w:tcW w:w="1206" w:type="dxa"/>
            <w:tcBorders/>
            <w:vAlign w:val="center"/>
          </w:tcPr>
          <w:p>
            <w:pPr>
              <w:pStyle w:val="TableContents"/>
              <w:bidi w:val="0"/>
              <w:spacing w:before="0" w:after="283"/>
              <w:jc w:val="left"/>
              <w:rPr>
                <w:sz w:val="4"/>
                <w:szCs w:val="4"/>
              </w:rPr>
            </w:pPr>
            <w:r>
              <w:rPr>
                <w:sz w:val="4"/>
                <w:szCs w:val="4"/>
              </w:rPr>
            </w:r>
          </w:p>
        </w:tc>
        <w:tc>
          <w:tcPr>
            <w:tcW w:w="8999" w:type="dxa"/>
            <w:gridSpan w:val="2"/>
            <w:tcBorders/>
            <w:vAlign w:val="center"/>
          </w:tcPr>
          <w:p>
            <w:pPr>
              <w:pStyle w:val="TableContents"/>
              <w:bidi w:val="0"/>
              <w:spacing w:before="0" w:after="283"/>
              <w:jc w:val="left"/>
              <w:rPr>
                <w:sz w:val="4"/>
                <w:szCs w:val="4"/>
              </w:rPr>
            </w:pPr>
            <w:r>
              <w:rPr>
                <w:sz w:val="4"/>
                <w:szCs w:val="4"/>
              </w:rPr>
            </w:r>
          </w:p>
        </w:tc>
      </w:tr>
      <w:tr>
        <w:trPr/>
        <w:tc>
          <w:tcPr>
            <w:tcW w:w="1206" w:type="dxa"/>
            <w:tcBorders/>
          </w:tcPr>
          <w:p>
            <w:pPr>
              <w:pStyle w:val="TableContents"/>
              <w:bidi w:val="0"/>
              <w:spacing w:before="0" w:after="283"/>
              <w:jc w:val="left"/>
              <w:rPr/>
            </w:pPr>
            <w:r>
              <w:rPr/>
              <w:t>107*</w:t>
            </w:r>
          </w:p>
        </w:tc>
        <w:tc>
          <w:tcPr>
            <w:tcW w:w="705" w:type="dxa"/>
            <w:tcBorders/>
            <w:vAlign w:val="bottom"/>
          </w:tcPr>
          <w:p>
            <w:pPr>
              <w:pStyle w:val="TableContents"/>
              <w:bidi w:val="0"/>
              <w:spacing w:before="0" w:after="283"/>
              <w:jc w:val="left"/>
              <w:rPr/>
            </w:pPr>
            <w:r>
              <w:rPr/>
              <w:t> </w:t>
            </w:r>
          </w:p>
        </w:tc>
        <w:tc>
          <w:tcPr>
            <w:tcW w:w="8294" w:type="dxa"/>
            <w:tcBorders/>
          </w:tcPr>
          <w:p>
            <w:pPr>
              <w:pStyle w:val="TableContents"/>
              <w:bidi w:val="0"/>
              <w:spacing w:before="0" w:after="283"/>
              <w:jc w:val="left"/>
              <w:rPr/>
            </w:pPr>
            <w:hyperlink r:id="rId21">
              <w:r>
                <w:rPr>
                  <w:rStyle w:val="InternetLink"/>
                </w:rPr>
                <w:t>Filing Fee Table.</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March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1"/>
        <w:gridCol w:w="3627"/>
      </w:tblGrid>
      <w:tr>
        <w:trPr/>
        <w:tc>
          <w:tcPr>
            <w:tcW w:w="39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EUROPEAN WAX CENTER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Morris</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Christopher Morris</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 and Chairman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EWC VENTURES,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Morris</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Christopher Morris</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 and Chairman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March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GLOW MIDCO, LLC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GLOW MERGER SUB 1,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GLOW MERGER SUB 2, LLC.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Gordon Cruess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March 31,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105"/>
        <w:gridCol w:w="3305"/>
      </w:tblGrid>
      <w:tr>
        <w:trPr/>
        <w:tc>
          <w:tcPr>
            <w:tcW w:w="67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L.P.</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GENPAR,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general partner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 COINVESTMENTS III,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managing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 COINVESTMENTS IV,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managing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 COINVESTMENTS V,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managing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Name: Gordon Cruess</w:t>
            </w:r>
          </w:p>
        </w:tc>
      </w:tr>
      <w:tr>
        <w:trPr/>
        <w:tc>
          <w:tcPr>
            <w:tcW w:w="672"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05"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 COINVESTMENTS CDA, L.P.</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GENERAL ATLANTIC, L.P., its general partner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PARTNERS AIV–1 A,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general partner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PARTNERS AIV–1 B,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general partner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(SPV) GP,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sole member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Gordon Cruess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6"/>
        <w:gridCol w:w="60"/>
        <w:gridCol w:w="3606"/>
      </w:tblGrid>
      <w:tr>
        <w:trPr/>
        <w:tc>
          <w:tcPr>
            <w:tcW w:w="4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GENPAR, (EW)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L.P., its general partner</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GENERAL ATLANTIC, L.P., its general partner</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Name: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ATLANTIC PARTNERS AIV (EW)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(EW)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general partner</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Name: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GAPCO AIV HOLDINGS,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(SPV) GP, LLC, its general partner</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Name: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GAPCO AIV INTERHOLDCO (EW),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(SPV) GP, LLC, its general partner</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Name: Gordon Cruess</w:t>
            </w:r>
          </w:p>
        </w:tc>
      </w:tr>
      <w:tr>
        <w:trPr/>
        <w:tc>
          <w:tcPr>
            <w:tcW w:w="4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 AIV–1 B INTERHOLDCO,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GENPAR, L.P.,</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L.P., its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Gordon Cruess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 AIV–1 B INTERHOLDCO (EW),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GENERAL ATLANTIC (SPV)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Gordon Cruess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Gordon Cruess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56236/000119312526132086/d118454dprer14a.htm" TargetMode="External"/><Relationship Id="rId3" Type="http://schemas.openxmlformats.org/officeDocument/2006/relationships/hyperlink" Target="http://www.sec.gov/Archives/edgar/data/1856236/000119312526132086/d118454dprer14a.htm" TargetMode="External"/><Relationship Id="rId4" Type="http://schemas.openxmlformats.org/officeDocument/2006/relationships/hyperlink" Target="http://www.sec.gov/Archives/edgar/data/1856236/000119312526132086/d118454dprer14a.htm" TargetMode="External"/><Relationship Id="rId5" Type="http://schemas.openxmlformats.org/officeDocument/2006/relationships/hyperlink" Target="http://www.sec.gov/Archives/edgar/data/1856236/000119312526132086/d118454dprer14a.htm" TargetMode="External"/><Relationship Id="rId6" Type="http://schemas.openxmlformats.org/officeDocument/2006/relationships/hyperlink" Target="http://www.sec.gov/Archives/edgar/data/1856236/000119312526132086/d118454dprer14a.htm" TargetMode="External"/><Relationship Id="rId7" Type="http://schemas.openxmlformats.org/officeDocument/2006/relationships/hyperlink" Target="http://www.sec.gov/Archives/edgar/data/1856236/000119312526132086/d118454dprer14a.htm" TargetMode="External"/><Relationship Id="rId8" Type="http://schemas.openxmlformats.org/officeDocument/2006/relationships/hyperlink" Target="http://www.sec.gov/Archives/edgar/data/1856236/000119312526043662/d71794ddefa14a.htm" TargetMode="External"/><Relationship Id="rId9" Type="http://schemas.openxmlformats.org/officeDocument/2006/relationships/hyperlink" Target="http://www.sec.gov/Archives/edgar/data/1856236/000119312526044836/d100032ddefa14a.htm" TargetMode="External"/><Relationship Id="rId10" Type="http://schemas.openxmlformats.org/officeDocument/2006/relationships/hyperlink" Target="http://www.sec.gov/Archives/edgar/data/1856236/000119312526044836/d100032ddefa14a.htm" TargetMode="External"/><Relationship Id="rId11" Type="http://schemas.openxmlformats.org/officeDocument/2006/relationships/hyperlink" Target="http://www.sec.gov/Archives/edgar/data/1856236/000119312526043656/d71794dex991.htm" TargetMode="External"/><Relationship Id="rId12" Type="http://schemas.openxmlformats.org/officeDocument/2006/relationships/hyperlink" Target="http://www.sec.gov/Archives/edgar/data/1856236/000119312526102445/d51338dex99b1.htm" TargetMode="External"/><Relationship Id="rId13" Type="http://schemas.openxmlformats.org/officeDocument/2006/relationships/hyperlink" Target="http://www.sec.gov/Archives/edgar/data/1856236/000119312526102445/d51338dex99cii.htm" TargetMode="External"/><Relationship Id="rId14" Type="http://schemas.openxmlformats.org/officeDocument/2006/relationships/hyperlink" Target="http://www.sec.gov/Archives/edgar/data/1856236/000119312526102445/d51338dex99ciii.htm" TargetMode="External"/><Relationship Id="rId15" Type="http://schemas.openxmlformats.org/officeDocument/2006/relationships/hyperlink" Target="http://www.sec.gov/Archives/edgar/data/1856236/000119312526102445/d51338dex99civ.htm" TargetMode="External"/><Relationship Id="rId16" Type="http://schemas.openxmlformats.org/officeDocument/2006/relationships/hyperlink" Target="http://www.sec.gov/Archives/edgar/data/1856236/000119312526102445/d51338dex99cv.htm" TargetMode="External"/><Relationship Id="rId17" Type="http://schemas.openxmlformats.org/officeDocument/2006/relationships/hyperlink" Target="http://www.sec.gov/Archives/edgar/data/1856236/000119312526102445/d51338dex99cvi.htm" TargetMode="External"/><Relationship Id="rId18" Type="http://schemas.openxmlformats.org/officeDocument/2006/relationships/hyperlink" Target="http://www.sec.gov/Archives/edgar/data/1856236/000119312526102445/d51338dex99diii.htm" TargetMode="External"/><Relationship Id="rId19" Type="http://schemas.openxmlformats.org/officeDocument/2006/relationships/hyperlink" Target="http://www.sec.gov/Archives/edgar/data/1856236/000095017021001806/ewcz-20210626ex10_3.htm" TargetMode="External"/><Relationship Id="rId20" Type="http://schemas.openxmlformats.org/officeDocument/2006/relationships/hyperlink" Target="http://www.sec.gov/Archives/edgar/data/1856236/000119312526102445/d51338dex99f.htm" TargetMode="External"/><Relationship Id="rId21" Type="http://schemas.openxmlformats.org/officeDocument/2006/relationships/hyperlink" Target="http://www.sec.gov/Archives/edgar/data/1856236/000119312526102445/d51338dexfilingfees.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7306</Words>
  <Characters>41079</Characters>
  <CharactersWithSpaces>48584</CharactersWithSpaces>
  <Paragraphs>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13E3/A</dc:title>
</cp:coreProperties>
</file>