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May 8, 2026</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333-258475</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333-286014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108585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78" w:lineRule="exact"/>
        <w:rPr>
          <w:sz w:val="24"/>
          <w:szCs w:val="24"/>
          <w:color w:val="auto"/>
        </w:rPr>
      </w:pPr>
    </w:p>
    <w:p>
      <w:pPr>
        <w:ind w:left="500" w:right="500"/>
        <w:spacing w:after="0" w:line="286" w:lineRule="auto"/>
        <w:rPr>
          <w:sz w:val="20"/>
          <w:szCs w:val="20"/>
          <w:color w:val="auto"/>
        </w:rPr>
      </w:pPr>
      <w:r>
        <w:rPr>
          <w:rFonts w:ascii="Times New Roman" w:cs="Times New Roman" w:eastAsia="Times New Roman" w:hAnsi="Times New Roman"/>
          <w:sz w:val="21"/>
          <w:szCs w:val="21"/>
          <w:b w:val="1"/>
          <w:bCs w:val="1"/>
          <w:color w:val="auto"/>
        </w:rPr>
        <w:t>POST-EFFECTIVE AMENDMENT NO. 1 TO FORM S-8 REGISTRATION STATEMENT NO. 333-258475 POST-EFFECTIVE AMENDMENT NO. 1 TO FORM S-8 REGISTRATION STATEMENT NO. 333-286014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186055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S-8</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REGISTRATION STATEMENT</w:t>
      </w:r>
    </w:p>
    <w:p>
      <w:pPr>
        <w:jc w:val="center"/>
        <w:spacing w:after="0" w:line="230" w:lineRule="auto"/>
        <w:rPr>
          <w:sz w:val="20"/>
          <w:szCs w:val="20"/>
          <w:color w:val="auto"/>
        </w:rPr>
      </w:pPr>
      <w:r>
        <w:rPr>
          <w:rFonts w:ascii="Times New Roman" w:cs="Times New Roman" w:eastAsia="Times New Roman" w:hAnsi="Times New Roman"/>
          <w:sz w:val="22"/>
          <w:szCs w:val="22"/>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European Wax Center,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1500" w:type="dxa"/>
        <w:tblCellMar>
          <w:top w:w="0" w:type="dxa"/>
          <w:left w:w="0" w:type="dxa"/>
          <w:bottom w:w="0" w:type="dxa"/>
          <w:right w:w="0" w:type="dxa"/>
        </w:tblCellMar>
      </w:tblPr>
      <w:tr>
        <w:trPr>
          <w:trHeight w:val="214"/>
        </w:trPr>
        <w:tc>
          <w:tcPr>
            <w:tcW w:w="4420" w:type="dxa"/>
            <w:vAlign w:val="bottom"/>
          </w:tcPr>
          <w:p>
            <w:pPr>
              <w:jc w:val="center"/>
              <w:ind w:right="177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980" w:type="dxa"/>
            <w:vAlign w:val="bottom"/>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86-3150064</w:t>
            </w:r>
          </w:p>
        </w:tc>
      </w:tr>
      <w:tr>
        <w:trPr>
          <w:trHeight w:val="149"/>
        </w:trPr>
        <w:tc>
          <w:tcPr>
            <w:tcW w:w="4420" w:type="dxa"/>
            <w:vAlign w:val="bottom"/>
          </w:tcPr>
          <w:p>
            <w:pPr>
              <w:jc w:val="center"/>
              <w:ind w:right="177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980" w:type="dxa"/>
            <w:vAlign w:val="bottom"/>
          </w:tcPr>
          <w:p>
            <w:pPr>
              <w:jc w:val="center"/>
              <w:ind w:left="178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420" w:type="dxa"/>
            <w:vAlign w:val="bottom"/>
          </w:tcPr>
          <w:p>
            <w:pPr>
              <w:jc w:val="center"/>
              <w:ind w:right="177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980" w:type="dxa"/>
            <w:vAlign w:val="bottom"/>
          </w:tcPr>
          <w:p>
            <w:pPr>
              <w:jc w:val="center"/>
              <w:ind w:left="178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6"/>
        </w:trPr>
        <w:tc>
          <w:tcPr>
            <w:tcW w:w="4420" w:type="dxa"/>
            <w:vAlign w:val="bottom"/>
          </w:tcPr>
          <w:p>
            <w:pPr>
              <w:jc w:val="center"/>
              <w:ind w:right="1779"/>
              <w:spacing w:after="0"/>
              <w:rPr>
                <w:sz w:val="20"/>
                <w:szCs w:val="20"/>
                <w:color w:val="auto"/>
              </w:rPr>
            </w:pPr>
            <w:r>
              <w:rPr>
                <w:rFonts w:ascii="Times New Roman" w:cs="Times New Roman" w:eastAsia="Times New Roman" w:hAnsi="Times New Roman"/>
                <w:sz w:val="18"/>
                <w:szCs w:val="18"/>
                <w:b w:val="1"/>
                <w:bCs w:val="1"/>
                <w:color w:val="auto"/>
                <w:w w:val="99"/>
              </w:rPr>
              <w:t>5830 Granite Parkway, 3rd Floor</w:t>
            </w:r>
          </w:p>
        </w:tc>
        <w:tc>
          <w:tcPr>
            <w:tcW w:w="2980" w:type="dxa"/>
            <w:vAlign w:val="bottom"/>
          </w:tcPr>
          <w:p>
            <w:pPr>
              <w:spacing w:after="0"/>
              <w:rPr>
                <w:sz w:val="24"/>
                <w:szCs w:val="24"/>
                <w:color w:val="auto"/>
              </w:rPr>
            </w:pPr>
          </w:p>
        </w:tc>
      </w:tr>
      <w:tr>
        <w:trPr>
          <w:trHeight w:val="227"/>
        </w:trPr>
        <w:tc>
          <w:tcPr>
            <w:tcW w:w="4420" w:type="dxa"/>
            <w:vAlign w:val="bottom"/>
          </w:tcPr>
          <w:p>
            <w:pPr>
              <w:jc w:val="center"/>
              <w:ind w:right="1799"/>
              <w:spacing w:after="0"/>
              <w:rPr>
                <w:sz w:val="20"/>
                <w:szCs w:val="20"/>
                <w:color w:val="auto"/>
              </w:rPr>
            </w:pPr>
            <w:r>
              <w:rPr>
                <w:rFonts w:ascii="Times New Roman" w:cs="Times New Roman" w:eastAsia="Times New Roman" w:hAnsi="Times New Roman"/>
                <w:sz w:val="18"/>
                <w:szCs w:val="18"/>
                <w:b w:val="1"/>
                <w:bCs w:val="1"/>
                <w:color w:val="auto"/>
                <w:w w:val="98"/>
              </w:rPr>
              <w:t>Plano, Texas 75024</w:t>
            </w:r>
          </w:p>
        </w:tc>
        <w:tc>
          <w:tcPr>
            <w:tcW w:w="298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75024</w:t>
            </w:r>
          </w:p>
        </w:tc>
      </w:tr>
      <w:tr>
        <w:trPr>
          <w:trHeight w:val="190"/>
        </w:trPr>
        <w:tc>
          <w:tcPr>
            <w:tcW w:w="4420" w:type="dxa"/>
            <w:vAlign w:val="bottom"/>
          </w:tcPr>
          <w:p>
            <w:pPr>
              <w:jc w:val="center"/>
              <w:ind w:right="179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980" w:type="dxa"/>
            <w:vAlign w:val="bottom"/>
          </w:tcPr>
          <w:p>
            <w:pPr>
              <w:jc w:val="center"/>
              <w:ind w:left="178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European Wax Center, Inc. 2021 Omnibus Incentive Plan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European Wax Center, Inc. 2025 Inducement Plan</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(Full title of the plans)</w:t>
      </w:r>
    </w:p>
    <w:p>
      <w:pPr>
        <w:spacing w:after="0" w:line="1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Christopher Morris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5830 Granite Parkway, 3rd Floor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Plano, Texas 75024</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(Name and address of agent for service)</w:t>
      </w:r>
    </w:p>
    <w:p>
      <w:pPr>
        <w:spacing w:after="0" w:line="1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(469) 264-8123</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(Telephone number, including area code, of agent for service)</w:t>
      </w:r>
    </w:p>
    <w:p>
      <w:pPr>
        <w:spacing w:after="0" w:line="1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With copies to</w:t>
      </w:r>
      <w:r>
        <w:rPr>
          <w:rFonts w:ascii="Times New Roman" w:cs="Times New Roman" w:eastAsia="Times New Roman" w:hAnsi="Times New Roman"/>
          <w:sz w:val="18"/>
          <w:szCs w:val="18"/>
          <w:b w:val="1"/>
          <w:bCs w:val="1"/>
          <w:color w:val="auto"/>
        </w:rPr>
        <w:t>:</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Thomas Fraser</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Ropes &amp; Gray LLP</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Prudential Tower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800 Boylston Street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Boston, MA 02199-3600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(617) 951-7000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237490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65" w:lineRule="exact"/>
        <w:rPr>
          <w:sz w:val="24"/>
          <w:szCs w:val="24"/>
          <w:color w:val="auto"/>
        </w:rPr>
      </w:pPr>
    </w:p>
    <w:p>
      <w:pPr>
        <w:jc w:val="both"/>
        <w:ind w:right="60" w:firstLine="4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2" w:lineRule="exact"/>
        <w:rPr>
          <w:sz w:val="24"/>
          <w:szCs w:val="24"/>
          <w:color w:val="auto"/>
        </w:rPr>
      </w:pPr>
    </w:p>
    <w:tbl>
      <w:tblPr>
        <w:tblLayout w:type="fixed"/>
        <w:tblInd w:w="0" w:type="dxa"/>
        <w:tblCellMar>
          <w:top w:w="0" w:type="dxa"/>
          <w:left w:w="0" w:type="dxa"/>
          <w:bottom w:w="0" w:type="dxa"/>
          <w:right w:w="0" w:type="dxa"/>
        </w:tblCellMar>
      </w:tblPr>
      <w:tr>
        <w:trPr>
          <w:trHeight w:val="303"/>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Accelerated filer</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Emerging growth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70" w:lineRule="exact"/>
        <w:rPr>
          <w:sz w:val="24"/>
          <w:szCs w:val="24"/>
          <w:color w:val="auto"/>
        </w:rPr>
      </w:pPr>
    </w:p>
    <w:p>
      <w:pPr>
        <w:ind w:right="160" w:firstLine="4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145415</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188595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0"/>
          </w:cols>
          <w:pgMar w:left="440" w:top="225" w:right="439" w:bottom="905"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EXPLANATORY NOTE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DEREGISTRATION OF UNSOLD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Post-Effective Amendments (the “</w:t>
      </w:r>
      <w:r>
        <w:rPr>
          <w:rFonts w:ascii="Times New Roman" w:cs="Times New Roman" w:eastAsia="Times New Roman" w:hAnsi="Times New Roman"/>
          <w:sz w:val="18"/>
          <w:szCs w:val="18"/>
          <w:b w:val="1"/>
          <w:bCs w:val="1"/>
          <w:color w:val="auto"/>
        </w:rPr>
        <w:t>Post-Effective Amendments</w:t>
      </w:r>
      <w:r>
        <w:rPr>
          <w:rFonts w:ascii="Times New Roman" w:cs="Times New Roman" w:eastAsia="Times New Roman" w:hAnsi="Times New Roman"/>
          <w:sz w:val="18"/>
          <w:szCs w:val="18"/>
          <w:color w:val="auto"/>
        </w:rPr>
        <w:t>”) are filed by European Wax Center, Inc., a Delaware corporation</w:t>
      </w:r>
    </w:p>
    <w:p>
      <w:pPr>
        <w:spacing w:after="0" w:line="31" w:lineRule="exact"/>
        <w:rPr>
          <w:sz w:val="20"/>
          <w:szCs w:val="20"/>
          <w:color w:val="auto"/>
        </w:rPr>
      </w:pPr>
    </w:p>
    <w:p>
      <w:pPr>
        <w:jc w:val="both"/>
        <w:ind w:right="100"/>
        <w:spacing w:after="0" w:line="255" w:lineRule="auto"/>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Registrant</w:t>
      </w:r>
      <w:r>
        <w:rPr>
          <w:rFonts w:ascii="Times New Roman" w:cs="Times New Roman" w:eastAsia="Times New Roman" w:hAnsi="Times New Roman"/>
          <w:sz w:val="18"/>
          <w:szCs w:val="18"/>
          <w:color w:val="auto"/>
        </w:rPr>
        <w:t>”), to deregister all shares of the Registrant’s Class A common stock, par value $0.00001 per share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remaining unissued under the following Registration Statements on Form S-8 (each a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color w:val="auto"/>
        </w:rPr>
        <w:t>Registration Statements</w:t>
      </w:r>
      <w:r>
        <w:rPr>
          <w:rFonts w:ascii="Times New Roman" w:cs="Times New Roman" w:eastAsia="Times New Roman" w:hAnsi="Times New Roman"/>
          <w:sz w:val="18"/>
          <w:szCs w:val="18"/>
          <w:color w:val="auto"/>
        </w:rPr>
        <w:t>”) filed by the Registrant with the U.S. Securities and Exchange Commission.</w:t>
      </w:r>
    </w:p>
    <w:p>
      <w:pPr>
        <w:spacing w:after="0" w:line="91" w:lineRule="exact"/>
        <w:rPr>
          <w:sz w:val="20"/>
          <w:szCs w:val="20"/>
          <w:color w:val="auto"/>
        </w:rPr>
      </w:pPr>
    </w:p>
    <w:p>
      <w:pPr>
        <w:ind w:left="960" w:right="20" w:hanging="424"/>
        <w:spacing w:after="0" w:line="28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S-8 (</w:t>
      </w:r>
      <w:hyperlink r:id="rId17">
        <w:r>
          <w:rPr>
            <w:rFonts w:ascii="Times New Roman" w:cs="Times New Roman" w:eastAsia="Times New Roman" w:hAnsi="Times New Roman"/>
            <w:sz w:val="18"/>
            <w:szCs w:val="18"/>
            <w:u w:val="single" w:color="auto"/>
            <w:color w:val="0000EE"/>
          </w:rPr>
          <w:t>No. 333-258475</w:t>
        </w:r>
      </w:hyperlink>
      <w:r>
        <w:rPr>
          <w:rFonts w:ascii="Times New Roman" w:cs="Times New Roman" w:eastAsia="Times New Roman" w:hAnsi="Times New Roman"/>
          <w:sz w:val="18"/>
          <w:szCs w:val="18"/>
          <w:color w:val="auto"/>
        </w:rPr>
        <w:t>) pertaining to the registration of 6,374,273 Shares reserved for issuance in respect of awards to be granted under the European Wax Center, Inc. 2021 Omnibus Incentive Plan.</w:t>
      </w:r>
    </w:p>
    <w:p>
      <w:pPr>
        <w:spacing w:after="0" w:line="67" w:lineRule="exact"/>
        <w:rPr>
          <w:rFonts w:ascii="Times New Roman" w:cs="Times New Roman" w:eastAsia="Times New Roman" w:hAnsi="Times New Roman"/>
          <w:sz w:val="18"/>
          <w:szCs w:val="18"/>
          <w:color w:val="auto"/>
        </w:rPr>
      </w:pPr>
    </w:p>
    <w:p>
      <w:pPr>
        <w:ind w:left="960" w:right="20" w:hanging="424"/>
        <w:spacing w:after="0" w:line="28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S-8 (</w:t>
      </w:r>
      <w:hyperlink r:id="rId18">
        <w:r>
          <w:rPr>
            <w:rFonts w:ascii="Times New Roman" w:cs="Times New Roman" w:eastAsia="Times New Roman" w:hAnsi="Times New Roman"/>
            <w:sz w:val="18"/>
            <w:szCs w:val="18"/>
            <w:u w:val="single" w:color="auto"/>
            <w:color w:val="0000EE"/>
          </w:rPr>
          <w:t>No. 333-286014</w:t>
        </w:r>
      </w:hyperlink>
      <w:r>
        <w:rPr>
          <w:rFonts w:ascii="Times New Roman" w:cs="Times New Roman" w:eastAsia="Times New Roman" w:hAnsi="Times New Roman"/>
          <w:sz w:val="18"/>
          <w:szCs w:val="18"/>
          <w:color w:val="auto"/>
        </w:rPr>
        <w:t>) pertaining to the registration of 4,000,000 Shares reserved for issuance in respect of awards to be granted under the European Wax Center, Inc. 2025 Inducement Plan.</w:t>
      </w:r>
    </w:p>
    <w:p>
      <w:pPr>
        <w:spacing w:after="0" w:line="162" w:lineRule="exact"/>
        <w:rPr>
          <w:rFonts w:ascii="Times New Roman" w:cs="Times New Roman" w:eastAsia="Times New Roman" w:hAnsi="Times New Roman"/>
          <w:sz w:val="18"/>
          <w:szCs w:val="18"/>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The Registrant is filing these Post-Effective Amendments to withdraw and remove any unissued and unsold securities issuable by the Registrant pursuant to the above referenced Registration Statements.</w:t>
      </w:r>
    </w:p>
    <w:p>
      <w:pPr>
        <w:spacing w:after="0" w:line="162" w:lineRule="exact"/>
        <w:rPr>
          <w:rFonts w:ascii="Times New Roman" w:cs="Times New Roman" w:eastAsia="Times New Roman" w:hAnsi="Times New Roman"/>
          <w:sz w:val="18"/>
          <w:szCs w:val="18"/>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On February 9, 2026, the Registrant entered into an Agreement and Plan of Merger (as it may be amended, supplemented or modified from time to time) (the “</w:t>
      </w:r>
      <w:r>
        <w:rPr>
          <w:rFonts w:ascii="Times New Roman" w:cs="Times New Roman" w:eastAsia="Times New Roman" w:hAnsi="Times New Roman"/>
          <w:sz w:val="18"/>
          <w:szCs w:val="18"/>
          <w:b w:val="1"/>
          <w:bCs w:val="1"/>
          <w:color w:val="auto"/>
        </w:rPr>
        <w:t>Merger Agreement</w:t>
      </w:r>
      <w:r>
        <w:rPr>
          <w:rFonts w:ascii="Times New Roman" w:cs="Times New Roman" w:eastAsia="Times New Roman" w:hAnsi="Times New Roman"/>
          <w:sz w:val="18"/>
          <w:szCs w:val="18"/>
          <w:color w:val="auto"/>
        </w:rPr>
        <w:t>”), by and among Glow Midco, LLC, a Delaware limited liability company (“</w:t>
      </w:r>
      <w:r>
        <w:rPr>
          <w:rFonts w:ascii="Times New Roman" w:cs="Times New Roman" w:eastAsia="Times New Roman" w:hAnsi="Times New Roman"/>
          <w:sz w:val="18"/>
          <w:szCs w:val="18"/>
          <w:b w:val="1"/>
          <w:bCs w:val="1"/>
          <w:color w:val="auto"/>
        </w:rPr>
        <w:t>Parent</w:t>
      </w:r>
      <w:r>
        <w:rPr>
          <w:rFonts w:ascii="Times New Roman" w:cs="Times New Roman" w:eastAsia="Times New Roman" w:hAnsi="Times New Roman"/>
          <w:sz w:val="18"/>
          <w:szCs w:val="18"/>
          <w:color w:val="auto"/>
        </w:rPr>
        <w:t>”), Glow Merger Sub 1, Inc., a Delaware corporation and a wholly owned subsidiary of Parent (“</w:t>
      </w:r>
      <w:r>
        <w:rPr>
          <w:rFonts w:ascii="Times New Roman" w:cs="Times New Roman" w:eastAsia="Times New Roman" w:hAnsi="Times New Roman"/>
          <w:sz w:val="18"/>
          <w:szCs w:val="18"/>
          <w:b w:val="1"/>
          <w:bCs w:val="1"/>
          <w:color w:val="auto"/>
        </w:rPr>
        <w:t>Merger Sub Inc.</w:t>
      </w:r>
      <w:r>
        <w:rPr>
          <w:rFonts w:ascii="Times New Roman" w:cs="Times New Roman" w:eastAsia="Times New Roman" w:hAnsi="Times New Roman"/>
          <w:sz w:val="18"/>
          <w:szCs w:val="18"/>
          <w:color w:val="auto"/>
        </w:rPr>
        <w:t>”), Glow Merger Sub 2, LLC, a Delaware limited liability company and wholly owned subsidiary of Parent (“</w:t>
      </w:r>
      <w:r>
        <w:rPr>
          <w:rFonts w:ascii="Times New Roman" w:cs="Times New Roman" w:eastAsia="Times New Roman" w:hAnsi="Times New Roman"/>
          <w:sz w:val="18"/>
          <w:szCs w:val="18"/>
          <w:b w:val="1"/>
          <w:bCs w:val="1"/>
          <w:color w:val="auto"/>
        </w:rPr>
        <w:t>Merger Sub LLC</w:t>
      </w:r>
      <w:r>
        <w:rPr>
          <w:rFonts w:ascii="Times New Roman" w:cs="Times New Roman" w:eastAsia="Times New Roman" w:hAnsi="Times New Roman"/>
          <w:sz w:val="18"/>
          <w:szCs w:val="18"/>
          <w:color w:val="auto"/>
        </w:rPr>
        <w:t>,” together with Merger Sub Inc., the “</w:t>
      </w:r>
      <w:r>
        <w:rPr>
          <w:rFonts w:ascii="Times New Roman" w:cs="Times New Roman" w:eastAsia="Times New Roman" w:hAnsi="Times New Roman"/>
          <w:sz w:val="18"/>
          <w:szCs w:val="18"/>
          <w:b w:val="1"/>
          <w:bCs w:val="1"/>
          <w:color w:val="auto"/>
        </w:rPr>
        <w:t>Merger Subs</w:t>
      </w:r>
      <w:r>
        <w:rPr>
          <w:rFonts w:ascii="Times New Roman" w:cs="Times New Roman" w:eastAsia="Times New Roman" w:hAnsi="Times New Roman"/>
          <w:sz w:val="18"/>
          <w:szCs w:val="18"/>
          <w:color w:val="auto"/>
        </w:rPr>
        <w:t>,” and the Merger Subs together with Parent, the “</w:t>
      </w:r>
      <w:r>
        <w:rPr>
          <w:rFonts w:ascii="Times New Roman" w:cs="Times New Roman" w:eastAsia="Times New Roman" w:hAnsi="Times New Roman"/>
          <w:sz w:val="18"/>
          <w:szCs w:val="18"/>
          <w:b w:val="1"/>
          <w:bCs w:val="1"/>
          <w:color w:val="auto"/>
        </w:rPr>
        <w:t>Buyer Parties</w:t>
      </w:r>
      <w:r>
        <w:rPr>
          <w:rFonts w:ascii="Times New Roman" w:cs="Times New Roman" w:eastAsia="Times New Roman" w:hAnsi="Times New Roman"/>
          <w:sz w:val="18"/>
          <w:szCs w:val="18"/>
          <w:color w:val="auto"/>
        </w:rPr>
        <w:t>”), the Registrant and EWC Ventures, LLC, a Delaware limited liability company (“</w:t>
      </w:r>
      <w:r>
        <w:rPr>
          <w:rFonts w:ascii="Times New Roman" w:cs="Times New Roman" w:eastAsia="Times New Roman" w:hAnsi="Times New Roman"/>
          <w:sz w:val="18"/>
          <w:szCs w:val="18"/>
          <w:b w:val="1"/>
          <w:bCs w:val="1"/>
          <w:color w:val="auto"/>
        </w:rPr>
        <w:t>Opco</w:t>
      </w:r>
      <w:r>
        <w:rPr>
          <w:rFonts w:ascii="Times New Roman" w:cs="Times New Roman" w:eastAsia="Times New Roman" w:hAnsi="Times New Roman"/>
          <w:sz w:val="18"/>
          <w:szCs w:val="18"/>
          <w:color w:val="auto"/>
        </w:rPr>
        <w:t>”), pursuant to which (i) Merger Sub Inc. merged with and into the Registrant (the “</w:t>
      </w:r>
      <w:r>
        <w:rPr>
          <w:rFonts w:ascii="Times New Roman" w:cs="Times New Roman" w:eastAsia="Times New Roman" w:hAnsi="Times New Roman"/>
          <w:sz w:val="18"/>
          <w:szCs w:val="18"/>
          <w:b w:val="1"/>
          <w:bCs w:val="1"/>
          <w:color w:val="auto"/>
        </w:rPr>
        <w:t>Corporate Merger</w:t>
      </w:r>
      <w:r>
        <w:rPr>
          <w:rFonts w:ascii="Times New Roman" w:cs="Times New Roman" w:eastAsia="Times New Roman" w:hAnsi="Times New Roman"/>
          <w:sz w:val="18"/>
          <w:szCs w:val="18"/>
          <w:color w:val="auto"/>
        </w:rPr>
        <w:t>”), with the Registrant surviving the Corporate Merger as the surviving corporation and a wholly owned subsidiary of Parent and (ii) Merger Sub LLC merged with and into Opco, with Opco surviving as the surviving limited liability company and a wholly owned subsidiary of Parent (the “</w:t>
      </w:r>
      <w:r>
        <w:rPr>
          <w:rFonts w:ascii="Times New Roman" w:cs="Times New Roman" w:eastAsia="Times New Roman" w:hAnsi="Times New Roman"/>
          <w:sz w:val="18"/>
          <w:szCs w:val="18"/>
          <w:b w:val="1"/>
          <w:bCs w:val="1"/>
          <w:color w:val="auto"/>
        </w:rPr>
        <w:t>LLC Merger</w:t>
      </w:r>
      <w:r>
        <w:rPr>
          <w:rFonts w:ascii="Times New Roman" w:cs="Times New Roman" w:eastAsia="Times New Roman" w:hAnsi="Times New Roman"/>
          <w:sz w:val="18"/>
          <w:szCs w:val="18"/>
          <w:color w:val="auto"/>
        </w:rPr>
        <w:t>”, and together with the Corporate Merger, the “</w:t>
      </w:r>
      <w:r>
        <w:rPr>
          <w:rFonts w:ascii="Times New Roman" w:cs="Times New Roman" w:eastAsia="Times New Roman" w:hAnsi="Times New Roman"/>
          <w:sz w:val="18"/>
          <w:szCs w:val="18"/>
          <w:b w:val="1"/>
          <w:bCs w:val="1"/>
          <w:color w:val="auto"/>
        </w:rPr>
        <w:t>Mergers</w:t>
      </w:r>
      <w:r>
        <w:rPr>
          <w:rFonts w:ascii="Times New Roman" w:cs="Times New Roman" w:eastAsia="Times New Roman" w:hAnsi="Times New Roman"/>
          <w:sz w:val="18"/>
          <w:szCs w:val="18"/>
          <w:color w:val="auto"/>
        </w:rPr>
        <w:t>”).</w:t>
      </w:r>
    </w:p>
    <w:p>
      <w:pPr>
        <w:spacing w:after="0" w:line="192" w:lineRule="exact"/>
        <w:rPr>
          <w:rFonts w:ascii="Times New Roman" w:cs="Times New Roman" w:eastAsia="Times New Roman" w:hAnsi="Times New Roman"/>
          <w:sz w:val="18"/>
          <w:szCs w:val="18"/>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As a result of the Mergers, the Registrant has terminated all offerings of its securities pursuant to the Registration Statements. In accordance with an undertaking made by the Registrant in each of the Registration Statements to remove from registration, by means of a post-effective amendment, any of the securities that had been registered for issuance that remain unsold at the termination of the offerings, the Registrant hereby removes from registration all such securities registered under the Registration Statements that remain unsold as of the date hereof and terminates the effectiveness of the Registration Statements.</w:t>
      </w:r>
    </w:p>
    <w:p>
      <w:pPr>
        <w:sectPr>
          <w:pgSz w:w="11900" w:h="16838" w:orient="portrait"/>
          <w:cols w:equalWidth="0" w:num="1">
            <w:col w:w="11000"/>
          </w:cols>
          <w:pgMar w:left="440" w:top="266" w:right="459" w:bottom="1440" w:gutter="0" w:footer="0" w:header="0"/>
        </w:sectPr>
      </w:pPr>
    </w:p>
    <w:bookmarkStart w:id="2" w:name="page3"/>
    <w:bookmarkEnd w:id="2"/>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S-8 and has duly caused these Post-Effective Amendments to be signed on its behalf by the undersigned, thereunto duly authorized, in the City of Plano, State of Texas, on May 8, 2026. No other person is required to sign these Post-Effective Amendments to the Registration Statements in reliance on Rule 478 of the Securities Act of 1933, as amended.</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EUROPEAN WAX CENTER,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Christopher Morris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Christopher Morris</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 Chief Executive Officer and Chairman</w:t>
      </w:r>
    </w:p>
    <w:sectPr>
      <w:pgSz w:w="11900" w:h="16838" w:orient="portrait"/>
      <w:cols w:equalWidth="0" w:num="1">
        <w:col w:w="10940"/>
      </w:cols>
      <w:pgMar w:left="440" w:top="266"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17" Type="http://schemas.openxmlformats.org/officeDocument/2006/relationships/hyperlink" Target="http://www.sec.gov/Archives/edgar/data/1856236/000110465921100327/tm2123874d2_s8.htm" TargetMode="External"/><Relationship Id="rId18" Type="http://schemas.openxmlformats.org/officeDocument/2006/relationships/hyperlink" Target="http://www.sec.gov/Archives/edgar/data/1856236/000095017025043268/ewcz-202503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2026-05-08T09:11:47Z</dcterms:created>
  <dcterms:modified xsi:type="dcterms:W3CDTF">2026-05-08T09:11:47Z</dcterms:modified>
</cp:coreProperties>
</file>