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SCHEDULE 13E-3</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RULE 13E-3 TRANSACTION STATEMENT UNDER</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SECTION 13(E)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European Wax Center,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European Wax Center,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EWC Ventures, LLC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Glow Midco, LLC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Glow Merger Sub 1, Inc.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Glow Merger Sub 2, LLC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Atlantic,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Atlantic GenPar,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GAP Coinvestments III, LLC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GAP Coinvestments IV, LLC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GAP Coinvestments V, LLC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GAP Coinvestments CDA,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Atlantic Partners AIV-1 A,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Atlantic Partners AIV-1 B,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Atlantic (SPV) GP, LLC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Atlantic GenPar (EW),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Atlantic Partners AIV (EW),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GAPCO AIV Holdings,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GAPCO AIV Interholdco (EW),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 AIV-1 B Interholdco,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 AIV-1 B Interholdco (EW), L.P.</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(Names of Persons Filing Statement)</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$0.00001 per share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Common Stock: 29882P106</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28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European Wax Center, Inc.</w:t>
            </w:r>
          </w:p>
        </w:tc>
        <w:tc>
          <w:tcPr>
            <w:tcW w:w="232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Glow Midco, LLC</w:t>
            </w:r>
          </w:p>
        </w:tc>
      </w:tr>
      <w:tr>
        <w:trPr>
          <w:trHeight w:val="216"/>
        </w:trPr>
        <w:tc>
          <w:tcPr>
            <w:tcW w:w="28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EWC Ventures, LLC</w:t>
            </w:r>
          </w:p>
        </w:tc>
        <w:tc>
          <w:tcPr>
            <w:tcW w:w="232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Glow Merger Sub 1, Inc.</w:t>
            </w:r>
          </w:p>
        </w:tc>
      </w:tr>
      <w:tr>
        <w:trPr>
          <w:trHeight w:val="216"/>
        </w:trPr>
        <w:tc>
          <w:tcPr>
            <w:tcW w:w="28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5830 Granite Parkway, 3rd Floor</w:t>
            </w:r>
          </w:p>
        </w:tc>
        <w:tc>
          <w:tcPr>
            <w:tcW w:w="232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Glow Merger Sub 2, LLC</w:t>
            </w:r>
          </w:p>
        </w:tc>
      </w:tr>
      <w:tr>
        <w:trPr>
          <w:trHeight w:val="216"/>
        </w:trPr>
        <w:tc>
          <w:tcPr>
            <w:tcW w:w="28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Plano, Texas 75024</w:t>
            </w:r>
          </w:p>
        </w:tc>
        <w:tc>
          <w:tcPr>
            <w:tcW w:w="5680" w:type="dxa"/>
            <w:vAlign w:val="bottom"/>
            <w:gridSpan w:val="2"/>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8"/>
              </w:rPr>
              <w:t>c/o General Atlantic Service Company, L.P.,</w:t>
            </w:r>
          </w:p>
        </w:tc>
      </w:tr>
      <w:tr>
        <w:trPr>
          <w:trHeight w:val="216"/>
        </w:trPr>
        <w:tc>
          <w:tcPr>
            <w:tcW w:w="28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Tel: (469) 264-8123</w:t>
            </w:r>
          </w:p>
        </w:tc>
        <w:tc>
          <w:tcPr>
            <w:tcW w:w="232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55 East 52nd Street, 32nd Floor</w:t>
            </w:r>
          </w:p>
        </w:tc>
      </w:tr>
      <w:tr>
        <w:trPr>
          <w:trHeight w:val="216"/>
        </w:trPr>
        <w:tc>
          <w:tcPr>
            <w:tcW w:w="28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NY 10055</w:t>
            </w:r>
          </w:p>
        </w:tc>
      </w:tr>
      <w:tr>
        <w:trPr>
          <w:trHeight w:val="238"/>
        </w:trPr>
        <w:tc>
          <w:tcPr>
            <w:tcW w:w="28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Tel: (212) 715-4000</w:t>
            </w:r>
          </w:p>
        </w:tc>
      </w:tr>
      <w:tr>
        <w:trPr>
          <w:trHeight w:val="365"/>
        </w:trPr>
        <w:tc>
          <w:tcPr>
            <w:tcW w:w="28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9020"/>
          </w:cols>
          <w:pgMar w:left="1440" w:top="376" w:right="1439" w:bottom="1440" w:gutter="0" w:footer="0" w:header="0"/>
        </w:sectPr>
      </w:pPr>
    </w:p>
    <w:bookmarkStart w:id="1" w:name="page2"/>
    <w:bookmarkEnd w:id="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Atlantic, L.P.</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General Atlantic GenPar,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GAP Coinvestments III, LLC</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GAP Coinvestments IV, LLC</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GAP Coinvestments V, LLC</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GAP Coinvestments CDA,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General Atlantic Partners AIV-1 A,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General Atlantic Partners AIV-1 B,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General Atlantic (SPV) GP, LLC</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General Atlantic GenPar (EW),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General Atlantic Partners AIV (EW),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GAPCO AIV Holdings,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GAPCO AIV Interholdco (EW),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GA AIV-1 B Interholdco,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GA AIV-1 B Interholdco (EW),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55 East 52nd Street, 33rd Floor</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New York, NY 10055</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Tel: (212) 715-4000</w:t>
      </w:r>
    </w:p>
    <w:p>
      <w:pPr>
        <w:ind w:left="3284"/>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w:t>
      </w:r>
    </w:p>
    <w:p>
      <w:pPr>
        <w:spacing w:after="0" w:line="1" w:lineRule="exact"/>
        <w:rPr>
          <w:sz w:val="20"/>
          <w:szCs w:val="20"/>
          <w:color w:val="auto"/>
        </w:rPr>
      </w:pPr>
    </w:p>
    <w:p>
      <w:pPr>
        <w:ind w:left="3304"/>
        <w:spacing w:after="0"/>
        <w:rPr>
          <w:sz w:val="20"/>
          <w:szCs w:val="20"/>
          <w:color w:val="auto"/>
        </w:rPr>
      </w:pPr>
      <w:r>
        <w:rPr>
          <w:rFonts w:ascii="Times New Roman" w:cs="Times New Roman" w:eastAsia="Times New Roman" w:hAnsi="Times New Roman"/>
          <w:sz w:val="14"/>
          <w:szCs w:val="14"/>
          <w:b w:val="1"/>
          <w:bCs w:val="1"/>
          <w:color w:val="auto"/>
        </w:rPr>
        <w:t>Notices and Communications on Behalf of the Persons Filing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1664"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57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437"/>
        </w:trPr>
        <w:tc>
          <w:tcPr>
            <w:tcW w:w="27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Thomas Fraser</w:t>
            </w:r>
          </w:p>
        </w:tc>
        <w:tc>
          <w:tcPr>
            <w:tcW w:w="57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8"/>
              </w:rPr>
              <w:t>Matthew W. Abbott</w:t>
            </w:r>
          </w:p>
        </w:tc>
      </w:tr>
      <w:tr>
        <w:trPr>
          <w:trHeight w:val="216"/>
        </w:trPr>
        <w:tc>
          <w:tcPr>
            <w:tcW w:w="27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Ropes &amp; Gray LLP</w:t>
            </w:r>
          </w:p>
        </w:tc>
        <w:tc>
          <w:tcPr>
            <w:tcW w:w="57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Christopher J. Cummings</w:t>
            </w:r>
          </w:p>
        </w:tc>
      </w:tr>
      <w:tr>
        <w:trPr>
          <w:trHeight w:val="216"/>
        </w:trPr>
        <w:tc>
          <w:tcPr>
            <w:tcW w:w="27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Prudential Tower</w:t>
            </w:r>
          </w:p>
        </w:tc>
        <w:tc>
          <w:tcPr>
            <w:tcW w:w="57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Cullen L. Sinclair</w:t>
            </w:r>
          </w:p>
        </w:tc>
      </w:tr>
      <w:tr>
        <w:trPr>
          <w:trHeight w:val="216"/>
        </w:trPr>
        <w:tc>
          <w:tcPr>
            <w:tcW w:w="27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800 Boylston Street</w:t>
            </w:r>
          </w:p>
        </w:tc>
        <w:tc>
          <w:tcPr>
            <w:tcW w:w="57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Paul, Weiss, Rifkind, Wharton &amp; Garrison LLP</w:t>
            </w:r>
          </w:p>
        </w:tc>
      </w:tr>
      <w:tr>
        <w:trPr>
          <w:trHeight w:val="216"/>
        </w:trPr>
        <w:tc>
          <w:tcPr>
            <w:tcW w:w="27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Boston, Massachusetts 02199</w:t>
            </w:r>
          </w:p>
        </w:tc>
        <w:tc>
          <w:tcPr>
            <w:tcW w:w="57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1285 Avenue of the Americas</w:t>
            </w:r>
          </w:p>
        </w:tc>
      </w:tr>
      <w:tr>
        <w:trPr>
          <w:trHeight w:val="216"/>
        </w:trPr>
        <w:tc>
          <w:tcPr>
            <w:tcW w:w="27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(617) 951-7000</w:t>
            </w:r>
          </w:p>
        </w:tc>
        <w:tc>
          <w:tcPr>
            <w:tcW w:w="57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8"/>
              </w:rPr>
              <w:t>New York, NY 10019</w:t>
            </w:r>
          </w:p>
        </w:tc>
      </w:tr>
      <w:tr>
        <w:trPr>
          <w:trHeight w:val="238"/>
        </w:trPr>
        <w:tc>
          <w:tcPr>
            <w:tcW w:w="2780" w:type="dxa"/>
            <w:vAlign w:val="bottom"/>
          </w:tcPr>
          <w:p>
            <w:pPr>
              <w:spacing w:after="0"/>
              <w:rPr>
                <w:sz w:val="20"/>
                <w:szCs w:val="20"/>
                <w:color w:val="auto"/>
              </w:rPr>
            </w:pPr>
          </w:p>
        </w:tc>
        <w:tc>
          <w:tcPr>
            <w:tcW w:w="57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Tel: (212) 373-3000</w:t>
            </w: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statement is filed in connection with (check the appropriate box):</w:t>
      </w:r>
    </w:p>
    <w:p>
      <w:pPr>
        <w:spacing w:after="0" w:line="90" w:lineRule="exact"/>
        <w:rPr>
          <w:sz w:val="20"/>
          <w:szCs w:val="20"/>
          <w:color w:val="auto"/>
        </w:rPr>
      </w:pPr>
    </w:p>
    <w:p>
      <w:pPr>
        <w:ind w:left="424" w:hanging="424"/>
        <w:spacing w:after="0" w:line="245" w:lineRule="exact"/>
        <w:tabs>
          <w:tab w:leader="none" w:pos="424"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filing of solicitation materials or an information statement subject to Regulation 14A, Regulation 14C or Rule 13e-3(c) under the Securities Exchange Act of 1934.</w:t>
      </w:r>
    </w:p>
    <w:p>
      <w:pPr>
        <w:spacing w:after="0" w:line="63"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filing of a registration statement under the Securities Act of 1933.</w:t>
      </w:r>
    </w:p>
    <w:p>
      <w:pPr>
        <w:spacing w:after="0" w:line="130"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tender offer.</w:t>
      </w:r>
    </w:p>
    <w:p>
      <w:pPr>
        <w:spacing w:after="0" w:line="130"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None of the above.</w:t>
      </w:r>
    </w:p>
    <w:p>
      <w:pPr>
        <w:spacing w:after="0" w:line="22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soliciting materials or information statement referred to in checking box (a) are preliminary copies:   </w:t>
      </w:r>
      <w:r>
        <w:rPr>
          <w:rFonts w:ascii="MS PGothic" w:cs="MS PGothic" w:eastAsia="MS PGothic" w:hAnsi="MS PGothic"/>
          <w:sz w:val="18"/>
          <w:szCs w:val="18"/>
          <w:color w:val="auto"/>
        </w:rPr>
        <w:t>☐</w:t>
      </w:r>
    </w:p>
    <w:p>
      <w:pPr>
        <w:spacing w:after="0" w:line="22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transaction:   </w:t>
      </w:r>
      <w:r>
        <w:rPr>
          <w:rFonts w:ascii="MS PGothic" w:cs="MS PGothic" w:eastAsia="MS PGothic" w:hAnsi="MS PGothic"/>
          <w:sz w:val="18"/>
          <w:szCs w:val="18"/>
          <w:color w:val="auto"/>
        </w:rPr>
        <w:t>☐</w:t>
      </w:r>
    </w:p>
    <w:p>
      <w:pPr>
        <w:spacing w:after="0" w:line="262"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this transaction, passed upon the merits or fairness of this transaction, or passed upon the adequacy or accuracy of the disclosure in this transaction statement on Schedule 13E-3.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182245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266" w:right="459" w:bottom="1440" w:gutter="0" w:footer="0" w:header="0"/>
        </w:sectPr>
      </w:pPr>
    </w:p>
    <w:bookmarkStart w:id="2" w:name="page3"/>
    <w:bookmarkEnd w:id="2"/>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INTRODUCTION</w:t>
      </w:r>
    </w:p>
    <w:p>
      <w:pPr>
        <w:spacing w:after="0" w:line="225"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This Amendment No. 2 (“</w:t>
      </w:r>
      <w:r>
        <w:rPr>
          <w:rFonts w:ascii="Times New Roman" w:cs="Times New Roman" w:eastAsia="Times New Roman" w:hAnsi="Times New Roman"/>
          <w:sz w:val="18"/>
          <w:szCs w:val="18"/>
          <w:b w:val="1"/>
          <w:bCs w:val="1"/>
          <w:color w:val="auto"/>
        </w:rPr>
        <w:t>Amendment No. 2</w:t>
      </w:r>
      <w:r>
        <w:rPr>
          <w:rFonts w:ascii="Times New Roman" w:cs="Times New Roman" w:eastAsia="Times New Roman" w:hAnsi="Times New Roman"/>
          <w:sz w:val="18"/>
          <w:szCs w:val="18"/>
          <w:color w:val="auto"/>
        </w:rPr>
        <w:t>”) to the Rule 13e-3 Transaction Statement on Schedule 13E-3, together with the exhibits hereto (as amended by Amendment No. 2 and Amendment No. 1 to the Rule 13e-3 Transaction Statement on Schedule 13E-3, this “</w:t>
      </w:r>
      <w:r>
        <w:rPr>
          <w:rFonts w:ascii="Times New Roman" w:cs="Times New Roman" w:eastAsia="Times New Roman" w:hAnsi="Times New Roman"/>
          <w:sz w:val="18"/>
          <w:szCs w:val="18"/>
          <w:b w:val="1"/>
          <w:bCs w:val="1"/>
          <w:color w:val="auto"/>
        </w:rPr>
        <w:t>Schedule 13E-3</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Transaction Statement</w:t>
      </w:r>
      <w:r>
        <w:rPr>
          <w:rFonts w:ascii="Times New Roman" w:cs="Times New Roman" w:eastAsia="Times New Roman" w:hAnsi="Times New Roman"/>
          <w:sz w:val="18"/>
          <w:szCs w:val="18"/>
          <w:color w:val="auto"/>
        </w:rPr>
        <w:t>”), is being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Section 13(e) of the Securities Exchange Act of 1934, as amended (together with the rules and regulations promulgated thereunder,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jointly by the following persons (each, a “</w:t>
      </w:r>
      <w:r>
        <w:rPr>
          <w:rFonts w:ascii="Times New Roman" w:cs="Times New Roman" w:eastAsia="Times New Roman" w:hAnsi="Times New Roman"/>
          <w:sz w:val="18"/>
          <w:szCs w:val="18"/>
          <w:b w:val="1"/>
          <w:bCs w:val="1"/>
          <w:color w:val="auto"/>
        </w:rPr>
        <w:t>Filing 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Filing Persons</w:t>
      </w:r>
      <w:r>
        <w:rPr>
          <w:rFonts w:ascii="Times New Roman" w:cs="Times New Roman" w:eastAsia="Times New Roman" w:hAnsi="Times New Roman"/>
          <w:sz w:val="18"/>
          <w:szCs w:val="18"/>
          <w:color w:val="auto"/>
        </w:rPr>
        <w:t>”): (i) European Wax Center,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Delaware corporation,</w:t>
      </w:r>
    </w:p>
    <w:p>
      <w:pPr>
        <w:spacing w:after="0" w:line="3" w:lineRule="exact"/>
        <w:rPr>
          <w:sz w:val="20"/>
          <w:szCs w:val="20"/>
          <w:color w:val="auto"/>
        </w:rPr>
      </w:pPr>
    </w:p>
    <w:p>
      <w:pPr>
        <w:ind w:left="4" w:hanging="4"/>
        <w:spacing w:after="0" w:line="250"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EWC Ventures, LLC, a Delaware limited liability company (“</w:t>
      </w:r>
      <w:r>
        <w:rPr>
          <w:rFonts w:ascii="Times New Roman" w:cs="Times New Roman" w:eastAsia="Times New Roman" w:hAnsi="Times New Roman"/>
          <w:sz w:val="18"/>
          <w:szCs w:val="18"/>
          <w:b w:val="1"/>
          <w:bCs w:val="1"/>
          <w:color w:val="auto"/>
        </w:rPr>
        <w:t>Opco</w:t>
      </w:r>
      <w:r>
        <w:rPr>
          <w:rFonts w:ascii="Times New Roman" w:cs="Times New Roman" w:eastAsia="Times New Roman" w:hAnsi="Times New Roman"/>
          <w:sz w:val="18"/>
          <w:szCs w:val="18"/>
          <w:color w:val="auto"/>
        </w:rPr>
        <w:t>”), (iii) Glow Midco, LLC, a Delaware limited liability company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(iv) Glow Merger Sub 1, Inc., a Delaware corporation and wholly owned subsidiary of Parent (“</w:t>
      </w:r>
      <w:r>
        <w:rPr>
          <w:rFonts w:ascii="Times New Roman" w:cs="Times New Roman" w:eastAsia="Times New Roman" w:hAnsi="Times New Roman"/>
          <w:sz w:val="18"/>
          <w:szCs w:val="18"/>
          <w:b w:val="1"/>
          <w:bCs w:val="1"/>
          <w:color w:val="auto"/>
        </w:rPr>
        <w:t>Merger Sub Inc.</w:t>
      </w:r>
      <w:r>
        <w:rPr>
          <w:rFonts w:ascii="Times New Roman" w:cs="Times New Roman" w:eastAsia="Times New Roman" w:hAnsi="Times New Roman"/>
          <w:sz w:val="18"/>
          <w:szCs w:val="18"/>
          <w:color w:val="auto"/>
        </w:rPr>
        <w:t>”), (v) Glow Merger Sub 2, LLC, a Delaware limited liability company and wholly owned subsidiary of Parent (“</w:t>
      </w:r>
      <w:r>
        <w:rPr>
          <w:rFonts w:ascii="Times New Roman" w:cs="Times New Roman" w:eastAsia="Times New Roman" w:hAnsi="Times New Roman"/>
          <w:sz w:val="18"/>
          <w:szCs w:val="18"/>
          <w:b w:val="1"/>
          <w:bCs w:val="1"/>
          <w:color w:val="auto"/>
        </w:rPr>
        <w:t>Merger Sub LLC</w:t>
      </w:r>
      <w:r>
        <w:rPr>
          <w:rFonts w:ascii="Times New Roman" w:cs="Times New Roman" w:eastAsia="Times New Roman" w:hAnsi="Times New Roman"/>
          <w:sz w:val="18"/>
          <w:szCs w:val="18"/>
          <w:color w:val="auto"/>
        </w:rPr>
        <w:t>,” together with Merger Sub Inc. and Parent,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(vi) General Atlantic, L.P., a Delaware limited partnership, (vii) General Atlantic GenPar, L.P., a Delaware limited partnership, (viii) GAP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Coinvestments III, LLC, a Delaware limited liability company, (ix) GAP Coinvestments IV, LLC, a Delaware limited liability company, (x) GAP Coinvestments V, LLC, a Delaware limited liability company, (xi) GAP Coinvestments CDA, L.P., a Delaware limited partnership, (xii) General Atlantic Partners AIV-1 A, L.P., a Delaware limited partnership, (xiii) General Atlantic Partners AIV-1 B, L.P., a Delaware limited partnership,</w:t>
      </w:r>
    </w:p>
    <w:p>
      <w:pPr>
        <w:spacing w:after="0" w:line="2"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(SPV) GP, LLC, a Delaware limited liability company, (xv) General Atlantic GenPar (EW), L.P., a Delaware limited partnership,</w:t>
      </w:r>
    </w:p>
    <w:p>
      <w:pPr>
        <w:spacing w:after="0" w:line="9"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Partners AIV (EW), L.P., a Delaware limited partnership, (xvii) GAPCO AIV Holdings, L.P., a Delaware limited partnership,</w:t>
      </w:r>
    </w:p>
    <w:p>
      <w:pPr>
        <w:spacing w:after="0" w:line="9"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AIV Interholdco (EW), L.P., a Delaware limited partnership, (xix) GA AIV-1 B Interholdco, L.P., a Delaware limited partnership, and</w:t>
      </w:r>
    </w:p>
    <w:p>
      <w:pPr>
        <w:spacing w:after="0" w:line="9" w:lineRule="exact"/>
        <w:rPr>
          <w:rFonts w:ascii="Times New Roman" w:cs="Times New Roman" w:eastAsia="Times New Roman" w:hAnsi="Times New Roman"/>
          <w:sz w:val="18"/>
          <w:szCs w:val="18"/>
          <w:color w:val="auto"/>
        </w:rPr>
      </w:pPr>
    </w:p>
    <w:p>
      <w:pPr>
        <w:jc w:val="both"/>
        <w:ind w:left="4" w:right="40" w:hanging="4"/>
        <w:spacing w:after="0" w:line="255" w:lineRule="auto"/>
        <w:tabs>
          <w:tab w:leader="none" w:pos="3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AIV-1 B Interholdco (EW), L.P., a Delaware limited partnership (together with Filing Persons (vi) through (xix), “</w:t>
      </w:r>
      <w:r>
        <w:rPr>
          <w:rFonts w:ascii="Times New Roman" w:cs="Times New Roman" w:eastAsia="Times New Roman" w:hAnsi="Times New Roman"/>
          <w:sz w:val="18"/>
          <w:szCs w:val="18"/>
          <w:b w:val="1"/>
          <w:bCs w:val="1"/>
          <w:color w:val="auto"/>
        </w:rPr>
        <w:t>General Atlantic</w:t>
      </w:r>
      <w:r>
        <w:rPr>
          <w:rFonts w:ascii="Times New Roman" w:cs="Times New Roman" w:eastAsia="Times New Roman" w:hAnsi="Times New Roman"/>
          <w:sz w:val="18"/>
          <w:szCs w:val="18"/>
          <w:color w:val="auto"/>
        </w:rPr>
        <w:t>”). Parent, Merger Sub Inc., Merger Sub LLC and General Atlantic are Filing Persons of this Transaction Statement because they may be deemed to be affiliates of the Company under the SEC rules governing “going-private” transactions.</w:t>
      </w:r>
    </w:p>
    <w:p>
      <w:pPr>
        <w:spacing w:after="0" w:line="186"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On February 9, 2026, the Company, Opco, Parent, Merger Sub Inc. and Merger Sub LLC entered into an Agreement and Plan of Merger (as amended, restated, supplemented or otherwise modified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subject to the satisfaction or waiver of certain conditions and on the terms set forth therein, (i) Merger Sub Inc. will merge with and into the Company, with the Company continuing as the surviving corporation (the “</w:t>
      </w:r>
      <w:r>
        <w:rPr>
          <w:rFonts w:ascii="Times New Roman" w:cs="Times New Roman" w:eastAsia="Times New Roman" w:hAnsi="Times New Roman"/>
          <w:sz w:val="18"/>
          <w:szCs w:val="18"/>
          <w:b w:val="1"/>
          <w:bCs w:val="1"/>
          <w:color w:val="auto"/>
        </w:rPr>
        <w:t>Corporate Merger</w:t>
      </w:r>
      <w:r>
        <w:rPr>
          <w:rFonts w:ascii="Times New Roman" w:cs="Times New Roman" w:eastAsia="Times New Roman" w:hAnsi="Times New Roman"/>
          <w:sz w:val="18"/>
          <w:szCs w:val="18"/>
          <w:color w:val="auto"/>
        </w:rPr>
        <w:t>”) and (ii) Merger Sub LLC will merge with and into Opco, with Opco continuing as the surviving limited liability company (the “</w:t>
      </w:r>
      <w:r>
        <w:rPr>
          <w:rFonts w:ascii="Times New Roman" w:cs="Times New Roman" w:eastAsia="Times New Roman" w:hAnsi="Times New Roman"/>
          <w:sz w:val="18"/>
          <w:szCs w:val="18"/>
          <w:b w:val="1"/>
          <w:bCs w:val="1"/>
          <w:color w:val="auto"/>
        </w:rPr>
        <w:t>LLC Merger</w:t>
      </w:r>
      <w:r>
        <w:rPr>
          <w:rFonts w:ascii="Times New Roman" w:cs="Times New Roman" w:eastAsia="Times New Roman" w:hAnsi="Times New Roman"/>
          <w:sz w:val="18"/>
          <w:szCs w:val="18"/>
          <w:color w:val="auto"/>
        </w:rPr>
        <w:t>” and collectively with the Corporate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Opco, as the surviving company of the LLC Merger, is sometimes referred to herein as the “</w:t>
      </w:r>
      <w:r>
        <w:rPr>
          <w:rFonts w:ascii="Times New Roman" w:cs="Times New Roman" w:eastAsia="Times New Roman" w:hAnsi="Times New Roman"/>
          <w:sz w:val="18"/>
          <w:szCs w:val="18"/>
          <w:b w:val="1"/>
          <w:bCs w:val="1"/>
          <w:color w:val="auto"/>
        </w:rPr>
        <w:t>Surviving LLC</w:t>
      </w:r>
      <w:r>
        <w:rPr>
          <w:rFonts w:ascii="Times New Roman" w:cs="Times New Roman" w:eastAsia="Times New Roman" w:hAnsi="Times New Roman"/>
          <w:sz w:val="18"/>
          <w:szCs w:val="18"/>
          <w:color w:val="auto"/>
        </w:rPr>
        <w:t>” and the Company, as the surviving corporation of the Corporate Merger, is sometimes referred to herein as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Concurrently with the filing of this Schedule 13E-3, the Company is filing with the SEC a definitive Proxy Statement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under Regulation 14A of the Exchange Act, relating to a special meeting of the stockholders of the Company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at which the stockholders of the Company will consider and vote upon a proposal to (i) approve and adopt the Merger Agreement and the transactions contemplated thereby, including the Mergers and (ii) a proposal to adjourn the Special Meeting, if necessary or appropriate, including adjournments to solicit additional proxies if there are insufficient votes at the time of the Special Meeting to adopt the Merger Agreement. The adoption of the Merger Agreement will require (i) the affirmative vote of the holders of a majority of all of the outstanding shares of Company Common Stock entitled to vote on the adoption of the merger agreement proposal (as discussed in the Proxy Statement) and (ii) the affirmative vote of a majority of the votes cast by the disinterested stockholders (as such term is defined in Section 144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which, for the avoidance of doubt, shall exclude any stockholder that is not an Unaffiliated Company Stockholder. The “</w:t>
      </w:r>
      <w:r>
        <w:rPr>
          <w:rFonts w:ascii="Times New Roman" w:cs="Times New Roman" w:eastAsia="Times New Roman" w:hAnsi="Times New Roman"/>
          <w:sz w:val="18"/>
          <w:szCs w:val="18"/>
          <w:b w:val="1"/>
          <w:bCs w:val="1"/>
          <w:color w:val="auto"/>
        </w:rPr>
        <w:t>Unaffiliated Company Stockholders</w:t>
      </w:r>
      <w:r>
        <w:rPr>
          <w:rFonts w:ascii="Times New Roman" w:cs="Times New Roman" w:eastAsia="Times New Roman" w:hAnsi="Times New Roman"/>
          <w:sz w:val="18"/>
          <w:szCs w:val="18"/>
          <w:color w:val="auto"/>
        </w:rPr>
        <w:t>” means the holders of shares of Company Common Stock, excluding those shares of Company Common Stock held, directly or indirectly, by or on behalf of (i) General Atlantic, its investment fund affiliates, its portfolio companies majority owned by such investment fund affiliates (with respect to which General Atlantic has the right to vote or direct the voting of such shares held by such portfolio companies) (collectively, “</w:t>
      </w:r>
      <w:r>
        <w:rPr>
          <w:rFonts w:ascii="Times New Roman" w:cs="Times New Roman" w:eastAsia="Times New Roman" w:hAnsi="Times New Roman"/>
          <w:sz w:val="18"/>
          <w:szCs w:val="18"/>
          <w:b w:val="1"/>
          <w:bCs w:val="1"/>
          <w:color w:val="auto"/>
        </w:rPr>
        <w:t>General Atlantic Controlled Portfolio Companies</w:t>
      </w:r>
      <w:r>
        <w:rPr>
          <w:rFonts w:ascii="Times New Roman" w:cs="Times New Roman" w:eastAsia="Times New Roman" w:hAnsi="Times New Roman"/>
          <w:sz w:val="18"/>
          <w:szCs w:val="18"/>
          <w:color w:val="auto"/>
        </w:rPr>
        <w:t>”) (excluding any Company Common Stock held by a General Atlantic Controlled</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6" w:right="479" w:bottom="1440" w:gutter="0" w:footer="0" w:header="0"/>
        </w:sectPr>
      </w:pPr>
    </w:p>
    <w:bookmarkStart w:id="3" w:name="page4"/>
    <w:bookmarkEnd w:id="3"/>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Portfolio Company (x) in trust, managed, brokerage, custodial, nominee or other customer accounts or (y) in mutual funds, open or closed end investment funds or other pooled investment vehicles (including limited partnerships and limited liability companies) sponsored, managed or advised or sub-advised by such General Atlantic Controlled Portfolio Company, in each case acquired and held in the ordinary course of the securities, commodities, derivatives, asset management, banking or similar businesses of any such General Atlantic Controlled Portfolio Company), (ii) any person that the Company has determined to be an “officer” of the Company within the meaning of Rule 16a-1(f) of the Exchange Act and (iii) those members of the Board of Directors of the Company who are not members of the Special Committee.</w:t>
      </w:r>
    </w:p>
    <w:p>
      <w:pPr>
        <w:spacing w:after="0" w:line="18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A copy of the Proxy Statement is attached hereto as Exhibit (a)(2)(i) and incorporated herein by reference. A copy of the Merger Agreement is attached hereto as Exhibit (d)(i) and is also included as Annex A to the Proxy Statement and incorporated herein by reference.</w:t>
      </w:r>
    </w:p>
    <w:p>
      <w:pPr>
        <w:spacing w:after="0" w:line="158"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Under the terms of the Merger Agreement, and subject to the conditions thereof, at the effective time of the Corporate Merger (the “</w:t>
      </w:r>
      <w:r>
        <w:rPr>
          <w:rFonts w:ascii="Times New Roman" w:cs="Times New Roman" w:eastAsia="Times New Roman" w:hAnsi="Times New Roman"/>
          <w:sz w:val="18"/>
          <w:szCs w:val="18"/>
          <w:b w:val="1"/>
          <w:b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(i) each share of the Company’s Class A common stock, par value $0.00001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that is outstanding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prior to the Effective Time (other than Cancelled Company Class A Shares or Dissenting Company Shares) will be cancelled and extinguished and automatically converted into the right to receive cash in an amount equal to $5.80 per share of Class A Common Stock, without interest thereon (the “</w:t>
      </w:r>
      <w:r>
        <w:rPr>
          <w:rFonts w:ascii="Times New Roman" w:cs="Times New Roman" w:eastAsia="Times New Roman" w:hAnsi="Times New Roman"/>
          <w:sz w:val="18"/>
          <w:szCs w:val="18"/>
          <w:b w:val="1"/>
          <w:bCs w:val="1"/>
          <w:color w:val="auto"/>
        </w:rPr>
        <w:t>Class A Per Share Price</w:t>
      </w:r>
      <w:r>
        <w:rPr>
          <w:rFonts w:ascii="Times New Roman" w:cs="Times New Roman" w:eastAsia="Times New Roman" w:hAnsi="Times New Roman"/>
          <w:sz w:val="18"/>
          <w:szCs w:val="18"/>
          <w:color w:val="auto"/>
        </w:rPr>
        <w:t>”); (ii) each Cancelled Company Class A Share will be cancelled and extinguished without any conversion thereof or consideration paid therefor; (iii) each share of the Company’s Class B common stock, par value $0.00001 per share (the “</w:t>
      </w:r>
      <w:r>
        <w:rPr>
          <w:rFonts w:ascii="Times New Roman" w:cs="Times New Roman" w:eastAsia="Times New Roman" w:hAnsi="Times New Roman"/>
          <w:sz w:val="18"/>
          <w:szCs w:val="18"/>
          <w:b w:val="1"/>
          <w:b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that is outstanding as of immediately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Time (other than Cancelled Company Class B Shares or Dissenting Company Shares) will be cancelled and extinguished and automatically converted into the right to receive cash in an amount equal to $0.00001 per share of Class B Common Stock (the “</w:t>
      </w:r>
      <w:r>
        <w:rPr>
          <w:rFonts w:ascii="Times New Roman" w:cs="Times New Roman" w:eastAsia="Times New Roman" w:hAnsi="Times New Roman"/>
          <w:sz w:val="18"/>
          <w:szCs w:val="18"/>
          <w:b w:val="1"/>
          <w:bCs w:val="1"/>
          <w:color w:val="auto"/>
        </w:rPr>
        <w:t>Class B Per Share Price</w:t>
      </w:r>
      <w:r>
        <w:rPr>
          <w:rFonts w:ascii="Times New Roman" w:cs="Times New Roman" w:eastAsia="Times New Roman" w:hAnsi="Times New Roman"/>
          <w:sz w:val="18"/>
          <w:szCs w:val="18"/>
          <w:color w:val="auto"/>
        </w:rPr>
        <w:t>”); (iv) each Cancelled Company Class B Share will be cancelled and extinguished without any conversion thereof or consideration paid therefor; and (v) the shares contributed to Parent (or any direct or indirect parent company thereof) by the GA Stockholders pursuant to the Support Agreement (the “</w:t>
      </w:r>
      <w:r>
        <w:rPr>
          <w:rFonts w:ascii="Times New Roman" w:cs="Times New Roman" w:eastAsia="Times New Roman" w:hAnsi="Times New Roman"/>
          <w:sz w:val="18"/>
          <w:szCs w:val="18"/>
          <w:b w:val="1"/>
          <w:bCs w:val="1"/>
          <w:color w:val="auto"/>
        </w:rPr>
        <w:t>GA Shares</w:t>
      </w:r>
      <w:r>
        <w:rPr>
          <w:rFonts w:ascii="Times New Roman" w:cs="Times New Roman" w:eastAsia="Times New Roman" w:hAnsi="Times New Roman"/>
          <w:sz w:val="18"/>
          <w:szCs w:val="18"/>
          <w:color w:val="auto"/>
        </w:rPr>
        <w:t>”) shall not be entitled to receive the Class A Per Share Price or the Class B Per Share Price and shall, immediately prior to the consummation of the transactions contemplated by the Merger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be contributed, directly or indirectly, to Parent. “</w:t>
      </w:r>
      <w:r>
        <w:rPr>
          <w:rFonts w:ascii="Times New Roman" w:cs="Times New Roman" w:eastAsia="Times New Roman" w:hAnsi="Times New Roman"/>
          <w:sz w:val="18"/>
          <w:szCs w:val="18"/>
          <w:b w:val="1"/>
          <w:bCs w:val="1"/>
          <w:color w:val="auto"/>
        </w:rPr>
        <w:t>Cancelled Company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Shares” </w:t>
      </w:r>
      <w:r>
        <w:rPr>
          <w:rFonts w:ascii="Times New Roman" w:cs="Times New Roman" w:eastAsia="Times New Roman" w:hAnsi="Times New Roman"/>
          <w:sz w:val="18"/>
          <w:szCs w:val="18"/>
          <w:color w:val="auto"/>
        </w:rPr>
        <w:t>means each share of Class A Common Stock that is (A) held by the Company and its subsidiaries, including Opco (the “</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 stock or otherwise; (B) owned by the Buyer Parties (including the GA Shares); (C) owned by any direct or indirect wholly owned subsidiary of the Buyer Parties as of immediately prior to the Effective Time; or (D) corresponding to an Unvested Restricted Stock Award. “</w:t>
      </w:r>
      <w:r>
        <w:rPr>
          <w:rFonts w:ascii="Times New Roman" w:cs="Times New Roman" w:eastAsia="Times New Roman" w:hAnsi="Times New Roman"/>
          <w:sz w:val="18"/>
          <w:szCs w:val="18"/>
          <w:b w:val="1"/>
          <w:bCs w:val="1"/>
          <w:color w:val="auto"/>
        </w:rPr>
        <w:t>Cancelled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Class B Shares” </w:t>
      </w:r>
      <w:r>
        <w:rPr>
          <w:rFonts w:ascii="Times New Roman" w:cs="Times New Roman" w:eastAsia="Times New Roman" w:hAnsi="Times New Roman"/>
          <w:sz w:val="18"/>
          <w:szCs w:val="18"/>
          <w:color w:val="auto"/>
        </w:rPr>
        <w:t>means each share of Class B Common Stock that is (A) held by the Company Group as treasury stock or otherwise; (B) owned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Buyer Parties (including the GA Shares); or (C) owned by any direct or indirect wholly owned subsidiary of the Buyer Parties as of immediately prior to the Effective Time.</w:t>
      </w:r>
    </w:p>
    <w:p>
      <w:pPr>
        <w:spacing w:after="0" w:line="19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All shares of Company Common Stock that are issued and outstanding as of immediately prior to the Effective Time and held by Company stockholders who shall have neither voted in favor of the Transactions nor consented thereto in writing and who shall have (or for which the beneficial owner (as defined in Section 262(a) of the DGCL) shall have) properly and validly exercised their statutory rights of appraisal in respect of such shares of Company Common Stock in accordance with Section 262 of the DGCL (the “</w:t>
      </w:r>
      <w:r>
        <w:rPr>
          <w:rFonts w:ascii="Times New Roman" w:cs="Times New Roman" w:eastAsia="Times New Roman" w:hAnsi="Times New Roman"/>
          <w:sz w:val="18"/>
          <w:szCs w:val="18"/>
          <w:b w:val="1"/>
          <w:bCs w:val="1"/>
          <w:color w:val="auto"/>
        </w:rPr>
        <w:t>Dissenting Company Shares</w:t>
      </w:r>
      <w:r>
        <w:rPr>
          <w:rFonts w:ascii="Times New Roman" w:cs="Times New Roman" w:eastAsia="Times New Roman" w:hAnsi="Times New Roman"/>
          <w:sz w:val="18"/>
          <w:szCs w:val="18"/>
          <w:color w:val="auto"/>
        </w:rPr>
        <w:t>”) will not be converted into, or represent the right to receive, the applicable Per Share Price. Holders of Dissenting Company Shares (or beneficial owners thereof) will be entitled to receive payment of the appraised value of such Dissenting Company Shares in accordance with the provisions of Section 262 of the DGCL (a copy of which is attached hereto as Exhibit (f)), except that all Dissenting Company Shares held by Company stockholders (or beneficial owners) who shall have failed to perfect or who shall have effectively withdrawn or lost their rights to appraisal of such Dissenting Company Shares pursuant to Section 262 of the DGCL will thereupon be deemed to have been converted into, and to have become exchangeable for, as of the Effective Time, the right to receive the applicable Per Share Price, without interest thereon, upon surrender of the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 w:name="page5"/>
    <w:bookmarkEnd w:id="4"/>
    <w:p>
      <w:pPr>
        <w:ind w:right="6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Certificates or Uncertificated Shares that formerly evidenced such shares of Company Common Stock in the manner provided for in the Merger Agreement.</w:t>
      </w:r>
    </w:p>
    <w:p>
      <w:pPr>
        <w:spacing w:after="0" w:line="15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At the effective time of the LLC Merger (the “</w:t>
      </w:r>
      <w:r>
        <w:rPr>
          <w:rFonts w:ascii="Times New Roman" w:cs="Times New Roman" w:eastAsia="Times New Roman" w:hAnsi="Times New Roman"/>
          <w:sz w:val="18"/>
          <w:szCs w:val="18"/>
          <w:b w:val="1"/>
          <w:bCs w:val="1"/>
          <w:color w:val="auto"/>
        </w:rPr>
        <w:t>LLC Merger Effective Time</w:t>
      </w:r>
      <w:r>
        <w:rPr>
          <w:rFonts w:ascii="Times New Roman" w:cs="Times New Roman" w:eastAsia="Times New Roman" w:hAnsi="Times New Roman"/>
          <w:sz w:val="18"/>
          <w:szCs w:val="18"/>
          <w:color w:val="auto"/>
        </w:rPr>
        <w:t>”), (i) each common limited liability interest in Opco (the “</w:t>
      </w:r>
      <w:r>
        <w:rPr>
          <w:rFonts w:ascii="Times New Roman" w:cs="Times New Roman" w:eastAsia="Times New Roman" w:hAnsi="Times New Roman"/>
          <w:sz w:val="18"/>
          <w:szCs w:val="18"/>
          <w:b w:val="1"/>
          <w:bCs w:val="1"/>
          <w:color w:val="auto"/>
        </w:rPr>
        <w:t>Opco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Units</w:t>
      </w:r>
      <w:r>
        <w:rPr>
          <w:rFonts w:ascii="Times New Roman" w:cs="Times New Roman" w:eastAsia="Times New Roman" w:hAnsi="Times New Roman"/>
          <w:sz w:val="18"/>
          <w:szCs w:val="18"/>
          <w:color w:val="auto"/>
        </w:rPr>
        <w:t>”) outstanding immediately prior to the LLC Merger Effective Time (subject to certain exceptions, including each (a) Opco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 that is (x) held by Opco or any of its subsidiaries in treasury or otherwise or (y) owned by the Buyer Parties or owned by any direct or indirect wholly owned subsidiary of the Buyer Parties as of immediately prior to the LLC Merger Effective Time (each, a “</w:t>
      </w:r>
      <w:r>
        <w:rPr>
          <w:rFonts w:ascii="Times New Roman" w:cs="Times New Roman" w:eastAsia="Times New Roman" w:hAnsi="Times New Roman"/>
          <w:sz w:val="18"/>
          <w:szCs w:val="18"/>
          <w:b w:val="1"/>
          <w:bCs w:val="1"/>
          <w:color w:val="auto"/>
        </w:rPr>
        <w:t>Cancelled Opco Unit</w:t>
      </w:r>
      <w:r>
        <w:rPr>
          <w:rFonts w:ascii="Times New Roman" w:cs="Times New Roman" w:eastAsia="Times New Roman" w:hAnsi="Times New Roman"/>
          <w:sz w:val="18"/>
          <w:szCs w:val="18"/>
          <w:color w:val="auto"/>
        </w:rPr>
        <w:t>”) and (b) Opco Common Unit that is owned directly or indirectly by the Company (each, an “</w:t>
      </w:r>
      <w:r>
        <w:rPr>
          <w:rFonts w:ascii="Times New Roman" w:cs="Times New Roman" w:eastAsia="Times New Roman" w:hAnsi="Times New Roman"/>
          <w:sz w:val="18"/>
          <w:szCs w:val="18"/>
          <w:b w:val="1"/>
          <w:bCs w:val="1"/>
          <w:color w:val="auto"/>
        </w:rPr>
        <w:t>Excluded Opco Unit</w:t>
      </w:r>
      <w:r>
        <w:rPr>
          <w:rFonts w:ascii="Times New Roman" w:cs="Times New Roman" w:eastAsia="Times New Roman" w:hAnsi="Times New Roman"/>
          <w:sz w:val="18"/>
          <w:szCs w:val="18"/>
          <w:color w:val="auto"/>
        </w:rPr>
        <w:t>”)) will be cancelled and extinguished and automatically converted into the right to receive cash in an amount equal to the excess of the Class A Per Share Price over the Class B Per Share Price, without interest thereon (the “</w:t>
      </w:r>
      <w:r>
        <w:rPr>
          <w:rFonts w:ascii="Times New Roman" w:cs="Times New Roman" w:eastAsia="Times New Roman" w:hAnsi="Times New Roman"/>
          <w:sz w:val="18"/>
          <w:szCs w:val="18"/>
          <w:b w:val="1"/>
          <w:bCs w:val="1"/>
          <w:color w:val="auto"/>
        </w:rPr>
        <w:t>Opco Per Unit Price</w:t>
      </w:r>
      <w:r>
        <w:rPr>
          <w:rFonts w:ascii="Times New Roman" w:cs="Times New Roman" w:eastAsia="Times New Roman" w:hAnsi="Times New Roman"/>
          <w:sz w:val="18"/>
          <w:szCs w:val="18"/>
          <w:color w:val="auto"/>
        </w:rPr>
        <w:t>”), (ii) each Cancelled Opco Unit will be cancelled and extinguished without any conversion thereof or consideration paid therefor, (iii) each Excluded Opco Unit shall be unaffected by the LLC Merger and shall remain outstanding as a common unit of the Surviving LLC held by the Company and (iv) Opco Common Units held by the GAPCO AIV Interholdco (EW), L.P. and General Atlantic Partners AIV (EW), L.P. shall not be entitled to receive the Opco Per Unit Price and shall, immediately prior to the Closing, be contributed, directly or indirectly, to Parent.</w:t>
      </w:r>
    </w:p>
    <w:p>
      <w:pPr>
        <w:spacing w:after="0" w:line="18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cross-references below are being supplied pursuant to General Instruction G to Schedule 13E-3 and show the location in the Proxy Statement of the information required to be included in response to the items of Schedule 13E-3. Pursuant to General Instruction F to Schedule 13E-3, the information contained in the Proxy Statement, including all annexes and appendices thereto, is incorporated in its entirety herein by reference, and the responses to each item in this Schedule 13E-3 are qualified in their entirety by the information contained in the Proxy Statement and the annexes and appendices thereto.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but not expressly defined in this Schedule 13E-3 shall have the respective meanings given to them in the Proxy Statement.</w:t>
      </w:r>
    </w:p>
    <w:p>
      <w:pPr>
        <w:spacing w:after="0" w:line="22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information concerning the Company contained in, or incorporated by reference into, this Schedule 13E-3 and the Proxy Statement was supplied by the Company. Similarly, all information concerning each other Filing Person contained in, or incorporated by reference into this Schedule 13E-3 and the Proxy Statement was supplied by such Filing Person.</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While each of the Filing Persons acknowledges that the Mergers constitute a “going private” transaction for purposes of Rule 13e-3 under the Exchange Act, the filing of this Transaction Statement shall not be construed as an admission by any Filing Person, or by any affiliate of a Filing Person, that the Company is “controlled” by any Filing Person.</w:t>
      </w:r>
    </w:p>
    <w:p>
      <w:pPr>
        <w:spacing w:after="0" w:line="320"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Summary Term Sheet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the Proxy Statement under the following captions is incorporated herein by reference:</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 PROPOSALS AND THE SPECIAL MEETING</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Subject Company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Name and Address. The information set forth in the Proxy Statement under the following caption is incorporated herein by reference:</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PARTIES TO THE MERGERS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5" w:name="page6"/>
    <w:bookmarkEnd w:id="5"/>
    <w:p>
      <w:pPr>
        <w:ind w:left="700" w:hanging="26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The information set forth in the Proxy Statement under the following captions is incorporated herein by reference:</w:t>
      </w:r>
    </w:p>
    <w:p>
      <w:pPr>
        <w:spacing w:after="0" w:line="11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372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 PROPOSALS AND THE SPECIAL MEETING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SPECIAL MEETING – Voting</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IMPORTANT INFORMATION REGARDING THE COMPANY – Market Price of Shares of Company Common Stock and Dividends”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IMPORTANT INFORMATION REGARDING THE COMPANY – Security Ownership of Certain Beneficial Owners and Management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80" w:hanging="244"/>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Market and Price. The information set forth in the Proxy Statement under the following caption is incorporated herein by reference:</w:t>
      </w:r>
    </w:p>
    <w:p>
      <w:pPr>
        <w:spacing w:after="0" w:line="11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IMPORTANT INFORMATION REGARDING THE COMPANY – Market Price of Shares of Company Common Stock and Dividends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The information set forth in the Proxy Statement under the following caption is incorporated herein by reference:</w:t>
      </w:r>
    </w:p>
    <w:p>
      <w:pPr>
        <w:spacing w:after="0" w:line="115" w:lineRule="exact"/>
        <w:rPr>
          <w:sz w:val="20"/>
          <w:szCs w:val="20"/>
          <w:color w:val="auto"/>
        </w:rPr>
      </w:pPr>
    </w:p>
    <w:p>
      <w:pPr>
        <w:ind w:left="440" w:right="180"/>
        <w:spacing w:after="0" w:line="40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IMPORTANT INFORMATION REGARDING THE COMPANY – Market Price of Shares of Company Common Stock and Dividends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OTHER IMPORTANT INFORMATION REGARDING THE COMPANY – Dividends</w:t>
      </w:r>
      <w:r>
        <w:rPr>
          <w:rFonts w:ascii="Times New Roman" w:cs="Times New Roman" w:eastAsia="Times New Roman" w:hAnsi="Times New Roman"/>
          <w:sz w:val="18"/>
          <w:szCs w:val="18"/>
          <w:color w:val="auto"/>
        </w:rPr>
        <w:t>”</w:t>
      </w:r>
    </w:p>
    <w:p>
      <w:pPr>
        <w:spacing w:after="0" w:line="53" w:lineRule="exact"/>
        <w:rPr>
          <w:sz w:val="20"/>
          <w:szCs w:val="20"/>
          <w:color w:val="auto"/>
        </w:rPr>
      </w:pPr>
    </w:p>
    <w:p>
      <w:pPr>
        <w:ind w:left="440" w:right="380" w:hanging="4"/>
        <w:spacing w:after="0" w:line="407"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Public Offerings. The information set forth in the Proxy Statement under the following caption is incorporated herein by reference: “</w:t>
      </w:r>
      <w:r>
        <w:rPr>
          <w:rFonts w:ascii="Times New Roman" w:cs="Times New Roman" w:eastAsia="Times New Roman" w:hAnsi="Times New Roman"/>
          <w:sz w:val="18"/>
          <w:szCs w:val="18"/>
          <w:i w:val="1"/>
          <w:iCs w:val="1"/>
          <w:color w:val="auto"/>
        </w:rPr>
        <w:t>OTHER IMPORTANT INFORMATION REGARDING THE COMPANY– Prior Public Offerings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420" w:hanging="4"/>
        <w:spacing w:after="0" w:line="374" w:lineRule="auto"/>
        <w:tabs>
          <w:tab w:leader="none" w:pos="6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Stock Purchases. The information set forth in the Proxy Statement under the following caption is incorporated herein by reference: “</w:t>
      </w:r>
      <w:r>
        <w:rPr>
          <w:rFonts w:ascii="Times New Roman" w:cs="Times New Roman" w:eastAsia="Times New Roman" w:hAnsi="Times New Roman"/>
          <w:sz w:val="18"/>
          <w:szCs w:val="18"/>
          <w:i w:val="1"/>
          <w:iCs w:val="1"/>
          <w:color w:val="auto"/>
        </w:rPr>
        <w:t>OTHER IMPORTANT INFORMATION REGARDING THE COMPANY – Stock Repurchases</w:t>
      </w:r>
      <w:r>
        <w:rPr>
          <w:rFonts w:ascii="Times New Roman" w:cs="Times New Roman" w:eastAsia="Times New Roman" w:hAnsi="Times New Roman"/>
          <w:sz w:val="18"/>
          <w:szCs w:val="18"/>
          <w:color w:val="auto"/>
        </w:rPr>
        <w:t>”</w:t>
      </w: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IMPORTANT INFORMATION REGARDING THE COMPANY – Certain Transactions in the Shares of Company Common Stock</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Identity and Background of Filing Person</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(a)–(c) Name and Address; Business and Background of Entities; Business and Background of Natural Persons. European Wax Center, Inc. is the subject company. The information set forth in the Proxy Statement under the following captions is incorporated herein by reference:</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PARTIES TO THE MERGERS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IMPORTANT INFORMATION REGARDING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IMPORTANT INFORMATION REGARDING THE BUYER FILING PARTIES</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Terms of the Transaction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(a)(1) Material Terms. Tender Offers. Not Applicable.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40" w:top="270" w:right="559" w:bottom="1440" w:gutter="0" w:footer="0" w:header="0"/>
        </w:sectPr>
      </w:pPr>
    </w:p>
    <w:bookmarkStart w:id="6" w:name="page7"/>
    <w:bookmarkEnd w:id="6"/>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(a)(2) Material Terms. Mergers or Similar Transactions. The information set forth in the Proxy Statement under the following captions is incorporated herein by reference:</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324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 PROPOSALS AND THE SPECIAL MEETING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Company for the Mergers; Recommendation of the Board and the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of the Mergers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40" w:right="238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Position of the General Atlantic Filing Parties as to the Fairness of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Purpose and Reasons of the General Atlantic Filing Parties for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Plans for the Company and Opco After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Certain Effects of the Mergers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40" w:right="206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Treatment of Company Equity Awards and Company Restricted Stock in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Interests of Executive Officers and Directors of the Company in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Treatment of Company Shares and Company Equity Awards in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Material U.S. Federal Income Tax Consequences of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Financing of the Mergers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Limited Guarantee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Accounting Treatment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SPECIAL MEETING – Vote Required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Annex A – Agreement and Plan of Merger</w:t>
      </w:r>
    </w:p>
    <w:p>
      <w:pPr>
        <w:spacing w:after="0" w:line="227" w:lineRule="exact"/>
        <w:rPr>
          <w:sz w:val="20"/>
          <w:szCs w:val="20"/>
          <w:color w:val="auto"/>
        </w:rPr>
      </w:pPr>
    </w:p>
    <w:p>
      <w:pPr>
        <w:ind w:left="680" w:hanging="24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Terms. The information set forth in the Proxy Statement under the following captions is incorporated herein by reference:</w:t>
      </w:r>
    </w:p>
    <w:p>
      <w:pPr>
        <w:spacing w:after="0" w:line="11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42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Plans for the Company and Opco After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Certain Effects of the Mergers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40" w:right="266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Interests of Executive Officers and Directors of the Company in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Financing of the Merg</w:t>
      </w:r>
      <w:r>
        <w:rPr>
          <w:rFonts w:ascii="Times New Roman" w:cs="Times New Roman" w:eastAsia="Times New Roman" w:hAnsi="Times New Roman"/>
          <w:sz w:val="18"/>
          <w:szCs w:val="18"/>
          <w:color w:val="auto"/>
        </w:rPr>
        <w:t>ers”</w:t>
      </w:r>
    </w:p>
    <w:p>
      <w:pPr>
        <w:spacing w:after="0" w:line="1"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Support Agreement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MERGER AGREEMENT – Employee Benefits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Annex A – Agreement and Plan of Merger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Annex B – Support Agreement</w:t>
      </w:r>
    </w:p>
    <w:p>
      <w:pPr>
        <w:spacing w:after="0" w:line="227" w:lineRule="exact"/>
        <w:rPr>
          <w:sz w:val="20"/>
          <w:szCs w:val="20"/>
          <w:color w:val="auto"/>
        </w:rPr>
      </w:pPr>
    </w:p>
    <w:p>
      <w:pPr>
        <w:ind w:left="440" w:right="200" w:hanging="4"/>
        <w:spacing w:after="0" w:line="399"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The information set forth in the Proxy Statement under the following captions is incorporated herein by reference: “</w:t>
      </w:r>
      <w:r>
        <w:rPr>
          <w:rFonts w:ascii="Times New Roman" w:cs="Times New Roman" w:eastAsia="Times New Roman" w:hAnsi="Times New Roman"/>
          <w:sz w:val="18"/>
          <w:szCs w:val="18"/>
          <w:i w:val="1"/>
          <w:iCs w:val="1"/>
          <w:color w:val="auto"/>
        </w:rPr>
        <w:t>SPECIAL FACTORS – Appraisal Rights</w:t>
      </w:r>
      <w:r>
        <w:rPr>
          <w:rFonts w:ascii="Times New Roman" w:cs="Times New Roman" w:eastAsia="Times New Roman" w:hAnsi="Times New Roman"/>
          <w:sz w:val="18"/>
          <w:szCs w:val="18"/>
          <w:color w:val="auto"/>
        </w:rPr>
        <w:t>”</w:t>
      </w:r>
    </w:p>
    <w:p>
      <w:pPr>
        <w:ind w:left="5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20"/>
          </w:cols>
          <w:pgMar w:left="440" w:top="270" w:right="1039" w:bottom="1440" w:gutter="0" w:footer="0" w:header="0"/>
        </w:sectPr>
      </w:pPr>
    </w:p>
    <w:bookmarkStart w:id="7" w:name="page8"/>
    <w:bookmarkEnd w:id="7"/>
    <w:p>
      <w:pPr>
        <w:ind w:left="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THE MERGER AGREEMENT – Merger Consideration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SPECIAL MEETING – Appraisal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3000"/>
        <w:spacing w:after="0" w:line="40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MERGERS (THE MERGER AGREEMENT PROPOSAL – PROPOSAL 1) – Appraisal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Annex A – Agreement and Plan of Merger</w:t>
      </w:r>
    </w:p>
    <w:p>
      <w:pPr>
        <w:spacing w:after="0" w:line="53" w:lineRule="exact"/>
        <w:rPr>
          <w:sz w:val="20"/>
          <w:szCs w:val="20"/>
          <w:color w:val="auto"/>
        </w:rPr>
      </w:pPr>
    </w:p>
    <w:p>
      <w:pPr>
        <w:ind w:left="-320" w:firstLine="436"/>
        <w:spacing w:after="0" w:line="282" w:lineRule="auto"/>
        <w:tabs>
          <w:tab w:leader="none" w:pos="3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Unaffiliated Security Holders. The information set forth in the Proxy Statement under the following captions is incorporated herein by reference:</w:t>
      </w:r>
    </w:p>
    <w:p>
      <w:pPr>
        <w:spacing w:after="0" w:line="52" w:lineRule="exact"/>
        <w:rPr>
          <w:sz w:val="20"/>
          <w:szCs w:val="20"/>
          <w:color w:val="auto"/>
        </w:rPr>
      </w:pPr>
    </w:p>
    <w:p>
      <w:pPr>
        <w:ind w:left="120" w:right="2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Company for the Mergers; Recommendation of the Board and the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of the Mergers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PROVISIONS FOR UNAFFILIATED STOCKHOLDERS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 Eligibility for Listing or Trading. Not Applicable.</w:t>
      </w:r>
    </w:p>
    <w:p>
      <w:pPr>
        <w:spacing w:after="0" w:line="370" w:lineRule="exact"/>
        <w:rPr>
          <w:sz w:val="20"/>
          <w:szCs w:val="20"/>
          <w:color w:val="auto"/>
        </w:rPr>
      </w:pPr>
    </w:p>
    <w:p>
      <w:pPr>
        <w:ind w:left="1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Past Contacts, Transactions, Negotiations and Agreements</w:t>
      </w:r>
    </w:p>
    <w:p>
      <w:pPr>
        <w:spacing w:after="0" w:line="121" w:lineRule="exact"/>
        <w:rPr>
          <w:sz w:val="20"/>
          <w:szCs w:val="20"/>
          <w:color w:val="auto"/>
        </w:rPr>
      </w:pPr>
    </w:p>
    <w:p>
      <w:pPr>
        <w:ind w:left="360" w:hanging="244"/>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The information set forth in the Proxy Statement under the following captions is incorporated herein by reference:</w:t>
      </w:r>
    </w:p>
    <w:p>
      <w:pPr>
        <w:spacing w:after="0" w:line="115"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0" w:right="292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Interests of Executive Officers and Directors of the Company in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Exchange of Paired Interests in Connection with the Mergers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IMPORTANT INFORMATION REGARDING THE COMPANY– Certain Transactions in the Shares of Company Common 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Annex A – Agreement and Plan of Merger</w:t>
      </w:r>
    </w:p>
    <w:p>
      <w:pPr>
        <w:spacing w:after="0" w:line="227" w:lineRule="exact"/>
        <w:rPr>
          <w:sz w:val="20"/>
          <w:szCs w:val="20"/>
          <w:color w:val="auto"/>
        </w:rPr>
      </w:pPr>
    </w:p>
    <w:p>
      <w:pPr>
        <w:ind w:left="-320" w:right="360" w:firstLine="436"/>
        <w:spacing w:after="0" w:line="282" w:lineRule="auto"/>
        <w:tabs>
          <w:tab w:leader="none" w:pos="3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Corporate Events. The information set forth in the Proxy Statement under the following captions is incorporated herein by reference:</w:t>
      </w:r>
    </w:p>
    <w:p>
      <w:pPr>
        <w:spacing w:after="0" w:line="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350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 PROPOSALS AND THE SPECIAL MEETING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20" w:right="2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Company for the Mergers; Recommendation of the Board and the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of the Mergers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120" w:right="294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General Atlantic Filing Parties for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Plans for the Company and Opco After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Certain Effects of the Mergers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20" w:right="2920"/>
        <w:spacing w:after="0" w:line="39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Interests of Executive Officers and Directors of the Company in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Exchange of Paired Interests in Connection with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Financing of the Mergers</w:t>
      </w:r>
      <w:r>
        <w:rPr>
          <w:rFonts w:ascii="Times New Roman" w:cs="Times New Roman" w:eastAsia="Times New Roman" w:hAnsi="Times New Roman"/>
          <w:sz w:val="18"/>
          <w:szCs w:val="18"/>
          <w:color w:val="auto"/>
        </w:rPr>
        <w:t>”</w:t>
      </w: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360"/>
          </w:cols>
          <w:pgMar w:left="760" w:top="268" w:right="779" w:bottom="1440" w:gutter="0" w:footer="0" w:header="0"/>
        </w:sectPr>
      </w:pPr>
    </w:p>
    <w:bookmarkStart w:id="8" w:name="page9"/>
    <w:bookmarkEnd w:id="8"/>
    <w:p>
      <w:pPr>
        <w:ind w:left="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SPECIAL FACTORS – Limited Guarantee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Support Agreement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MERGER AGREEMENT”</w:t>
      </w:r>
    </w:p>
    <w:p>
      <w:pPr>
        <w:spacing w:after="0" w:line="225" w:lineRule="exact"/>
        <w:rPr>
          <w:sz w:val="20"/>
          <w:szCs w:val="20"/>
          <w:color w:val="auto"/>
        </w:rPr>
      </w:pPr>
    </w:p>
    <w:p>
      <w:pPr>
        <w:ind w:left="380" w:right="160" w:hanging="4"/>
        <w:spacing w:after="0" w:line="374" w:lineRule="auto"/>
        <w:tabs>
          <w:tab w:leader="none" w:pos="6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or Contacts. The information set forth in the Proxy Statement under the following captions is incorporated herein by reference: “</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380" w:right="5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Company for the Mergers; Recommendation of the Board and the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of the Mergers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380" w:right="320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General Atlantic Filing Parties for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Plans for the Company and Opco After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380" w:right="3180"/>
        <w:spacing w:after="0" w:line="40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Interests of Executive Officers and Directors of the Company in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p>
    <w:p>
      <w:pPr>
        <w:spacing w:after="0" w:line="53" w:lineRule="exact"/>
        <w:rPr>
          <w:sz w:val="20"/>
          <w:szCs w:val="20"/>
          <w:color w:val="auto"/>
        </w:rPr>
      </w:pPr>
    </w:p>
    <w:p>
      <w:pPr>
        <w:ind w:left="-60" w:right="300" w:firstLine="436"/>
        <w:spacing w:after="0" w:line="282" w:lineRule="auto"/>
        <w:tabs>
          <w:tab w:leader="none" w:pos="6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Involving the Subject Company’s Securities. The information set forth in the Proxy Statement under the following captions is incorporated herein by reference:</w:t>
      </w:r>
    </w:p>
    <w:p>
      <w:pPr>
        <w:spacing w:after="0" w:line="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80" w:right="376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 PROPOSALS AND THE SPECIAL MEETING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380" w:right="494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Plans for the Company and Opco After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Certain Effects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380" w:right="308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Interests of Executive Officers and Directors of the Company in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Intent of the Directors and Executive Officers to Vote in Favor of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Intent of the General Atlantic Filing Parties to Vote in Favor of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Exchange of Paired Interests in Connection with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Financing of the Mergers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Limited Guarantee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Support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80" w:right="48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IMPORTANT INFORMATION REGARDING THE COMPANY – Certain Transactions in the Shares of Company Common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OTHER IMPORTANT INFORMATION REGARDING THE COMPANY – Stockholders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Annex A – Agreement and Plan of Merger</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Annex B – Support Agreement</w:t>
      </w:r>
    </w:p>
    <w:p>
      <w:pPr>
        <w:spacing w:after="0" w:line="372" w:lineRule="exact"/>
        <w:rPr>
          <w:sz w:val="20"/>
          <w:szCs w:val="20"/>
          <w:color w:val="auto"/>
        </w:rPr>
      </w:pPr>
    </w:p>
    <w:p>
      <w:pPr>
        <w:ind w:left="36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Purposes of the Transaction and Plans or Proposals</w:t>
      </w:r>
    </w:p>
    <w:p>
      <w:pPr>
        <w:spacing w:after="0" w:line="121" w:lineRule="exact"/>
        <w:rPr>
          <w:sz w:val="20"/>
          <w:szCs w:val="20"/>
          <w:color w:val="auto"/>
        </w:rPr>
      </w:pPr>
    </w:p>
    <w:p>
      <w:pPr>
        <w:ind w:left="640" w:hanging="264"/>
        <w:spacing w:after="0"/>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Securities Acquired. The information set forth in the Proxy Statement under the following captions is incorporated herein by reference:</w:t>
      </w:r>
    </w:p>
    <w:p>
      <w:pPr>
        <w:spacing w:after="0" w:line="126" w:lineRule="exact"/>
        <w:rPr>
          <w:rFonts w:ascii="Times New Roman" w:cs="Times New Roman" w:eastAsia="Times New Roman" w:hAnsi="Times New Roman"/>
          <w:sz w:val="17"/>
          <w:szCs w:val="17"/>
          <w:color w:val="auto"/>
        </w:rPr>
      </w:pPr>
    </w:p>
    <w:p>
      <w:pPr>
        <w:ind w:left="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 PROPOSALS AND THE SPECIAL MEETING</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500" w:top="268" w:right="519" w:bottom="1440" w:gutter="0" w:footer="0" w:header="0"/>
        </w:sectPr>
      </w:pPr>
    </w:p>
    <w:bookmarkStart w:id="9" w:name="page10"/>
    <w:bookmarkEnd w:id="9"/>
    <w:p>
      <w:pPr>
        <w:ind w:left="20" w:right="2680"/>
        <w:spacing w:after="0" w:line="3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SPECIAL FACTORS – Purpose and Reasons of the General Atlantic Filing Parties for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Plans for the Company and Opco After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Certain Effects of the Mergers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Exchange and Payment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DELISTING AND DEREGISTRATION OF COMMON STOCK</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Annex A – Agreement and Plan of Merger</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(c)(1)–(8) Plans. The information set forth in the Proxy Statement under the following captions is incorporated herein by reference:</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324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 PROPOSALS AND THE SPECIAL MEETING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Company for the Mergers; Recommendation of the Board and the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of the Mergers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20" w:right="238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Position of the General Atlantic Filing Parties as to the Fairness of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Purpose and Reasons of the General Atlantic Filing Parties for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Plans for the Company and Opco After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Certain Effects of the Mergers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Interests of Executive Officers and Directors of the Company in the Mergers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Intent of the Directors and Executive Officers to Vote in Favor of the Mergers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Intent of the General Atlantic Filing Parties to Vote in Favor of the Mergers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Financing of the Mergers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Limited Guarantee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Support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SPECIAL MEETING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DELISTING AND DEREGISTRATION OF 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Annex A – Agreement and Plan of Merger</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Annex B – Support Agreement</w:t>
      </w:r>
    </w:p>
    <w:p>
      <w:pPr>
        <w:spacing w:after="0" w:line="37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Purposes, Alternatives, Reasons and Effects</w:t>
      </w:r>
    </w:p>
    <w:p>
      <w:pPr>
        <w:spacing w:after="0" w:line="121" w:lineRule="exact"/>
        <w:rPr>
          <w:sz w:val="20"/>
          <w:szCs w:val="20"/>
          <w:color w:val="auto"/>
        </w:rPr>
      </w:pPr>
    </w:p>
    <w:p>
      <w:pPr>
        <w:ind w:left="260" w:hanging="244"/>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 The information set forth in the Proxy Statement under the following captions is incorporated herein by reference:</w:t>
      </w:r>
    </w:p>
    <w:p>
      <w:pPr>
        <w:spacing w:after="0" w:line="115"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3240"/>
        <w:spacing w:after="0" w:line="4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 PROPOSALS AND THE SPECIAL MEETING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00"/>
          </w:cols>
          <w:pgMar w:left="860" w:top="268" w:right="1039" w:bottom="1440" w:gutter="0" w:footer="0" w:header="0"/>
        </w:sectPr>
      </w:pPr>
    </w:p>
    <w:bookmarkStart w:id="10" w:name="page11"/>
    <w:bookmarkEnd w:id="10"/>
    <w:p>
      <w:pPr>
        <w:ind w:left="4"/>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SPECIAL FACTORS – Purpose and Reasons of the Company for the Mergers; Recommendation of the Board and the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of the Mergers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 w:right="2380"/>
        <w:spacing w:after="0" w:line="3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Position of the General Atlantic Filing Parties as to the Fairness of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Purpose and Reasons of the General Atlantic Filing Parties for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Plans for the Company and Opco After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Certain Effects of the Mergers</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4" w:right="540" w:hanging="4"/>
        <w:spacing w:after="0" w:line="374" w:lineRule="auto"/>
        <w:tabs>
          <w:tab w:leader="none" w:pos="25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Alternatives. The information set forth in the Proxy Statement under the following captions is incorporated herein by reference: “</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Company for the Mergers; Recommendation of the Board and the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of the Mergers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 w:right="2380"/>
        <w:spacing w:after="0" w:line="39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Position of the General Atlantic Filing Parties as to the Fairness of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Purpose and Reasons of the General Atlantic Filing Parties for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Certain Effects on the Company if the Mergers are not Completed</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 w:right="840" w:hanging="4"/>
        <w:spacing w:after="0" w:line="374" w:lineRule="auto"/>
        <w:tabs>
          <w:tab w:leader="none" w:pos="2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Reasons. The information set forth in the Proxy Statement under the following captions is incorporated herein by reference: “</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Company for the Mergers; Recommendation of the Board and the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of the Mergers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Opinion of the Special Committee’s Financial Advisor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38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Position of the General Atlantic Filing Parties as to the Fairness of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Purpose and Reasons of the General Atlantic Filing Parties for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Plans for the Company and Opco After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Certain Effects of the Mergers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Annex C – Opinion of Moelis &amp; Company LLC</w:t>
      </w:r>
    </w:p>
    <w:p>
      <w:pPr>
        <w:spacing w:after="0" w:line="227" w:lineRule="exact"/>
        <w:rPr>
          <w:sz w:val="20"/>
          <w:szCs w:val="20"/>
          <w:color w:val="auto"/>
        </w:rPr>
      </w:pPr>
    </w:p>
    <w:p>
      <w:pPr>
        <w:ind w:left="264" w:hanging="264"/>
        <w:spacing w:after="0"/>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The information set forth in the Proxy Statement under the following captions is incorporated herein by reference:</w:t>
      </w:r>
    </w:p>
    <w:p>
      <w:pPr>
        <w:spacing w:after="0" w:line="11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324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 PROPOSALS AND THE SPECIAL MEETING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Company for the Mergers; Recommendation of the Board and the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of the Mergers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 w:right="2380"/>
        <w:spacing w:after="0" w:line="3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Position of the General Atlantic Filing Parties as to the Fairness of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Purpose and Reasons of the General Atlantic Filing Parties for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Plans for the Company and Opco After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Certain Effects of the Mergers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984"/>
          </w:cols>
          <w:pgMar w:left="876" w:top="268" w:right="1039" w:bottom="1440" w:gutter="0" w:footer="0" w:header="0"/>
        </w:sectPr>
      </w:pPr>
    </w:p>
    <w:bookmarkStart w:id="11" w:name="page12"/>
    <w:bookmarkEnd w:id="11"/>
    <w:p>
      <w:pPr>
        <w:ind w:left="440" w:right="3720"/>
        <w:spacing w:after="0" w:line="3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SPECIAL FACTORS – Certain Effects on the Company if the Mergers are not Completed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Financing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Interests of Executive Officers and Directors of the Company in the Mergers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Exchange of Paired Interests in Connection with the Mergers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Material U.S. Federal Income Tax Consequences of the Mergers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Fees and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Accounting Treatment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Exchange and Payment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DELISTING AND DEREGISTRATION OF 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Annex A – Agreement and Plan of Merger</w:t>
      </w:r>
    </w:p>
    <w:p>
      <w:pPr>
        <w:spacing w:after="0" w:line="372"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Fairness of the Transaction</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 (b) Fairness; Factors Considered in Determining Fairness. The information set forth in the Proxy Statement under the following captions is incorporated herein by reference:</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354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 PROPOSALS AND THE SPECIAL MEETING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40" w:right="3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Company for the Mergers; Recommendation of the Board and the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of the Mergers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Opinion of the Special Committee’s Financial Advisor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68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Position of the General Atlantic Filing Parties as to the Fairness of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Purpose and Reasons of the General Atlantic Filing Parties for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Interests of Executive Officers and Directors of the Company in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Annex C – Opinion of Moelis &amp; Company LLC</w:t>
      </w:r>
    </w:p>
    <w:p>
      <w:pPr>
        <w:spacing w:after="0" w:line="227" w:lineRule="exact"/>
        <w:rPr>
          <w:sz w:val="20"/>
          <w:szCs w:val="20"/>
          <w:color w:val="auto"/>
        </w:rPr>
      </w:pPr>
    </w:p>
    <w:p>
      <w:pPr>
        <w:ind w:right="360" w:firstLine="436"/>
        <w:spacing w:after="0" w:line="282"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Security Holders. The information set forth in the Proxy Statement under the following captions is incorporated herein by reference:</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354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 PROPOSALS AND THE SPECIAL MEETING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 – Conditions to the Closing of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SPECIAL MEETING – Record Date and Quorum</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SPECIAL MEETING – Vote Required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3100"/>
        <w:spacing w:after="0" w:line="4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SPECIAL MEETING – Voting Intentions of the Company’s Directors and Executive Officers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SPECIAL MEETING – Voting</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20"/>
          </w:cols>
          <w:pgMar w:left="440" w:top="268" w:right="73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THE SPECIAL MEETING – How to Vote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SPECIAL MEETING – Proxies and Revocation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Annex A – Agreement and Plan of Merger</w:t>
      </w:r>
    </w:p>
    <w:p>
      <w:pPr>
        <w:spacing w:after="0" w:line="227" w:lineRule="exact"/>
        <w:rPr>
          <w:sz w:val="20"/>
          <w:szCs w:val="20"/>
          <w:color w:val="auto"/>
        </w:rPr>
      </w:pPr>
    </w:p>
    <w:p>
      <w:pPr>
        <w:ind w:left="700" w:hanging="264"/>
        <w:spacing w:after="0"/>
        <w:tabs>
          <w:tab w:leader="none" w:pos="7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Unaffiliated Representative. The information set forth in the Proxy Statement under the following captions is incorporated herein by reference:</w:t>
      </w:r>
    </w:p>
    <w:p>
      <w:pPr>
        <w:spacing w:after="0" w:line="126"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5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Company for the Mergers; Recommendation of the Board and the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of the Mergers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Opinion of the Special Committee’s Financial Advisor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940"/>
        <w:spacing w:after="0" w:line="39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Position of the General Atlantic Filing Parties as to the Fairness of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Purpose and Reasons of the General Atlantic Filing Parties for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PROVISIONS FOR UNAFFILIATED STOCKHOLDERS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680" w:hanging="244"/>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Directors. The information set forth in the Proxy Statement under the following captions is incorporated herein by reference:</w:t>
      </w:r>
    </w:p>
    <w:p>
      <w:pPr>
        <w:spacing w:after="0" w:line="11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380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 PROPOSALS AND THE SPECIAL MEETING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40" w:right="5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Company for the Mergers; Recommendation of the Board and the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of the Mergers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Position of the General Atlantic Filing Parties as to the Fairness of the Mergers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40" w:right="1100" w:hanging="4"/>
        <w:spacing w:after="0" w:line="374" w:lineRule="auto"/>
        <w:tabs>
          <w:tab w:leader="none" w:pos="6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Offers. The information set forth in the Proxy Statement under the following captions is incorporated herein by reference: “</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40" w:right="5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Company for the Mergers; Recommendation of the Board and the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of the Mergers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40" w:right="294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Position of the General Atlantic Filing Parties as to the Fairness of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Purpose and Reasons of the General Atlantic Filing Parties for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 – Solicitation of Other Offers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 – Recommendation Changes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Annex A – Agreement and Plan of Merger</w:t>
      </w:r>
    </w:p>
    <w:p>
      <w:pPr>
        <w:spacing w:after="0" w:line="372"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Reports, Opinions, Appraisals and Negotiations</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(a)–(c) Report, Opinion or Appraisal; Preparer and Summary of the Report, Opinion or Appraisal; Availability of Documents. The information set forth in the Proxy Statement under the following captions is incorporated herein by reference:</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8" w:right="479" w:bottom="1440" w:gutter="0" w:footer="0" w:header="0"/>
        </w:sectPr>
      </w:pPr>
    </w:p>
    <w:bookmarkStart w:id="13" w:name="page14"/>
    <w:bookmarkEnd w:id="13"/>
    <w:p>
      <w:pPr>
        <w:ind w:left="440" w:right="3400"/>
        <w:spacing w:after="0" w:line="3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QUESTIONS AND ANSWERS ABOUT THE PROPOSALS AND THE SPECIAL MEETING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40" w:right="1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Company for the Mergers; Recommendation of the Board and the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of the Mergers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Opinion of the Special Committee’s Financial Advisor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54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Position of the General Atlantic Filing Parties as to the Fairness of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Purpose and Reasons of the General Atlantic Filing Parties for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Annex C – Opinion of Moelis &amp; Company LLC</w:t>
      </w:r>
    </w:p>
    <w:p>
      <w:pPr>
        <w:spacing w:after="0" w:line="372"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 (b) Source of Funds; Conditions. The information set forth in the Proxy Statement under the following captions is incorporated herein by reference:</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Financing of the Mergers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Limited Guarantee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82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Interests of Executive Officers and Directors of the Company in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Exchange and Payment Procedures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 – Effect of the Mergers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40" w:right="360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MERGER AGREEMENT – Closing, Effective Time and LLC Merger Effective Time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 – Conduct of Business Pending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40" w:right="4660"/>
        <w:spacing w:after="0" w:line="40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MERGER AGREEMENT – Conditions to the Closing of 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Annex A – Agreement and Plan of Merger</w:t>
      </w:r>
    </w:p>
    <w:p>
      <w:pPr>
        <w:spacing w:after="0" w:line="53" w:lineRule="exact"/>
        <w:rPr>
          <w:sz w:val="20"/>
          <w:szCs w:val="20"/>
          <w:color w:val="auto"/>
        </w:rPr>
      </w:pPr>
    </w:p>
    <w:p>
      <w:pPr>
        <w:ind w:left="440" w:right="920" w:hanging="4"/>
        <w:spacing w:after="0" w:line="374"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The information set forth in the Proxy Statement under the following captions is incorporated herein by reference: “</w:t>
      </w:r>
      <w:r>
        <w:rPr>
          <w:rFonts w:ascii="Times New Roman" w:cs="Times New Roman" w:eastAsia="Times New Roman" w:hAnsi="Times New Roman"/>
          <w:sz w:val="18"/>
          <w:szCs w:val="18"/>
          <w:i w:val="1"/>
          <w:iCs w:val="1"/>
          <w:color w:val="auto"/>
        </w:rPr>
        <w:t>SPECIAL FACTORS – Fees and Expenses</w:t>
      </w:r>
      <w:r>
        <w:rPr>
          <w:rFonts w:ascii="Times New Roman" w:cs="Times New Roman" w:eastAsia="Times New Roman" w:hAnsi="Times New Roman"/>
          <w:sz w:val="18"/>
          <w:szCs w:val="18"/>
          <w:color w:val="auto"/>
        </w:rPr>
        <w:t>”</w:t>
      </w:r>
    </w:p>
    <w:p>
      <w:pPr>
        <w:ind w:left="440" w:right="488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 – Termination Fees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MERGER AGREEMENT – Fees and Expenses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SPECIAL MEETING – Solicitation of Proxies; Payment of Solicitation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Annex A – Agreement and Plan of Merger</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Borrowed Funds.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Financing of the Mergers</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Interest in Securities of the Subject Company</w:t>
      </w:r>
    </w:p>
    <w:p>
      <w:pPr>
        <w:spacing w:after="0" w:line="121" w:lineRule="exact"/>
        <w:rPr>
          <w:sz w:val="20"/>
          <w:szCs w:val="20"/>
          <w:color w:val="auto"/>
        </w:rPr>
      </w:pPr>
    </w:p>
    <w:p>
      <w:pPr>
        <w:ind w:left="680" w:hanging="244"/>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Ownership. The information set forth in the Proxy Statement under the following captions is incorporated herein by reference:</w:t>
      </w:r>
    </w:p>
    <w:p>
      <w:pPr>
        <w:spacing w:after="0" w:line="11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0"/>
          </w:cols>
          <w:pgMar w:left="440" w:top="268" w:right="879" w:bottom="1440" w:gutter="0" w:footer="0" w:header="0"/>
        </w:sectPr>
      </w:pPr>
    </w:p>
    <w:bookmarkStart w:id="14" w:name="page15"/>
    <w:bookmarkEnd w:id="14"/>
    <w:p>
      <w:pPr>
        <w:ind w:left="20" w:right="3040"/>
        <w:spacing w:after="0" w:line="3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SPECIAL FACTORS – Interests of Executive Officers and Directors of the Company in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Support Agreement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SPECIAL MEETING – Record Date and Quorum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spacing w:after="0" w:line="39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IMPORTANT INFORMATION REGARDING THE COMPANY – Security Ownership of Certain Beneficial Owners and Management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OTHER IMPORTANT INFORMATION REGARDING THE BUYER FILING PARTIES – General Atlantic Filing 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Annex B – Support Agreement</w:t>
      </w:r>
    </w:p>
    <w:p>
      <w:pPr>
        <w:spacing w:after="0" w:line="68" w:lineRule="exact"/>
        <w:rPr>
          <w:sz w:val="20"/>
          <w:szCs w:val="20"/>
          <w:color w:val="auto"/>
        </w:rPr>
      </w:pPr>
    </w:p>
    <w:p>
      <w:pPr>
        <w:ind w:left="20" w:right="140" w:hanging="4"/>
        <w:spacing w:after="0" w:line="374" w:lineRule="auto"/>
        <w:tabs>
          <w:tab w:leader="none" w:pos="2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Transactions. The information set forth in the Proxy Statement under the following captions is incorporated herein by reference: “</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ind w:left="20" w:right="304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Interests of Executive Officers and Directors of the Company in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Support Agreement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IMPORTANT INFORMATION REGARDING THE COMPANY– Stock Repurchases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IMPORTANT INFORMATION REGARDING THE COMPANY – Certain Transactions in the Shares of Company 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Annex A – Agreement and Plan of Merger</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Annex B – Support Agreement</w:t>
      </w:r>
    </w:p>
    <w:p>
      <w:pPr>
        <w:spacing w:after="0" w:line="37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The Solicitation or Recommendation</w:t>
      </w:r>
    </w:p>
    <w:p>
      <w:pPr>
        <w:spacing w:after="0" w:line="121" w:lineRule="exact"/>
        <w:rPr>
          <w:sz w:val="20"/>
          <w:szCs w:val="20"/>
          <w:color w:val="auto"/>
        </w:rPr>
      </w:pPr>
    </w:p>
    <w:p>
      <w:pPr>
        <w:ind w:left="-420" w:right="240" w:firstLine="436"/>
        <w:spacing w:after="0" w:line="282" w:lineRule="auto"/>
        <w:tabs>
          <w:tab w:leader="none" w:pos="2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 to Tender or Vote in a Going–Private Transaction. The information set forth in the Proxy Statement under the following captions is incorporated herein by reference:</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362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 PROPOSALS AND THE SPECIAL MEETING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20" w:right="3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Company for the Mergers; Recommendation of the Board and the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of the Mergers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20" w:right="294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Interests of Executive Officers and Directors of the Company in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Intent of the Directors and Executive Officers to Vote in Favor of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Intent of the General Atlantic Filing Parties to Vote in Favor of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Support Agreement</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SPECIAL MEETING – Record Date and Quorum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SPECIAL MEETING – Voting Intentions of the Company’s Directors and Executive Officers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000" w:right="1340" w:hanging="4977"/>
        <w:spacing w:after="0" w:line="4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IMPORTANT INFORMATION REGARDING THE COMPANY – Directors and Executive Officers of the Company</w:t>
      </w:r>
      <w:r>
        <w:rPr>
          <w:rFonts w:ascii="Times New Roman" w:cs="Times New Roman" w:eastAsia="Times New Roman" w:hAnsi="Times New Roman"/>
          <w:sz w:val="18"/>
          <w:szCs w:val="18"/>
          <w:color w:val="auto"/>
        </w:rPr>
        <w:t>” 15</w:t>
      </w:r>
    </w:p>
    <w:p>
      <w:pPr>
        <w:sectPr>
          <w:pgSz w:w="11900" w:h="16838" w:orient="portrait"/>
          <w:cols w:equalWidth="0" w:num="1">
            <w:col w:w="10380"/>
          </w:cols>
          <w:pgMar w:left="860" w:top="268" w:right="659" w:bottom="1440" w:gutter="0" w:footer="0" w:header="0"/>
        </w:sectPr>
      </w:pPr>
    </w:p>
    <w:bookmarkStart w:id="15" w:name="page16"/>
    <w:bookmarkEnd w:id="15"/>
    <w:p>
      <w:pPr>
        <w:ind w:left="400" w:right="180"/>
        <w:spacing w:after="0" w:line="40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OTHER IMPORTANT INFORMATION REGARDING THE COMPANY – Security Ownership of Certain Beneficial Owners and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Annex B – Support Agreement</w:t>
      </w:r>
    </w:p>
    <w:p>
      <w:pPr>
        <w:spacing w:after="0" w:line="53" w:lineRule="exact"/>
        <w:rPr>
          <w:sz w:val="20"/>
          <w:szCs w:val="20"/>
          <w:color w:val="auto"/>
        </w:rPr>
      </w:pPr>
    </w:p>
    <w:p>
      <w:pPr>
        <w:ind w:left="640" w:hanging="244"/>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 of Others. The information set forth in the Proxy Statement under the following captions is incorporated herein by reference:</w:t>
      </w:r>
    </w:p>
    <w:p>
      <w:pPr>
        <w:spacing w:after="0" w:line="115"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0" w:right="380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 PROPOSALS AND THE SPECIAL MEETING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00" w:right="5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Company for the Mergers; Recommendation of the Board and the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of the Mergers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0" w:right="2940"/>
        <w:spacing w:after="0" w:line="4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SPECIAL FACTORS – Position of the General Atlantic Filing Parties as to the Fairness of the Mergers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SPECIAL FACTORS – Purpose and Reasons of the General Atlantic Filing Parties for the Mergers</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ind w:left="38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40" w:right="20" w:firstLine="436"/>
        <w:spacing w:after="0" w:line="266" w:lineRule="auto"/>
        <w:tabs>
          <w:tab w:leader="none" w:pos="6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The audited consolidated financial statements of the Company for the fiscal years ended January 3, 2026 and January 4, 2025 are incorporated herein by reference to the Company’s Annual Report on Form 10–K for the fiscal year ended January 3, 2026 (the “</w:t>
      </w:r>
      <w:r>
        <w:rPr>
          <w:rFonts w:ascii="Times New Roman" w:cs="Times New Roman" w:eastAsia="Times New Roman" w:hAnsi="Times New Roman"/>
          <w:sz w:val="18"/>
          <w:szCs w:val="18"/>
          <w:b w:val="1"/>
          <w:bCs w:val="1"/>
          <w:color w:val="auto"/>
        </w:rPr>
        <w:t>FY25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10-K</w:t>
      </w:r>
      <w:r>
        <w:rPr>
          <w:rFonts w:ascii="Times New Roman" w:cs="Times New Roman" w:eastAsia="Times New Roman" w:hAnsi="Times New Roman"/>
          <w:sz w:val="18"/>
          <w:szCs w:val="18"/>
          <w:color w:val="auto"/>
        </w:rPr>
        <w:t>”), filed on March 4, 2026 (see “Item 8. Financial Statements and Supplementary Data” beginning on page 59 of the FY25 Form 10-K).</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set forth in the Proxy Statement under the following captions is incorporated herein by reference:</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IMPORTANT INFORMATION REGARDING THE COMPANY – Book Value Per Share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IMPORTANT INFORMATION REGARDING THE COMPANY – Selected Historical Consolidated Financial Data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 Pro Forma Information. Not Applicable.</w:t>
      </w:r>
    </w:p>
    <w:p>
      <w:pPr>
        <w:spacing w:after="0" w:line="370" w:lineRule="exact"/>
        <w:rPr>
          <w:sz w:val="20"/>
          <w:szCs w:val="20"/>
          <w:color w:val="auto"/>
        </w:rPr>
      </w:pPr>
    </w:p>
    <w:p>
      <w:pPr>
        <w:ind w:left="38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Persons/Assets, Retained, Employed, Compensated or Used</w:t>
      </w:r>
    </w:p>
    <w:p>
      <w:pPr>
        <w:spacing w:after="0" w:line="121" w:lineRule="exact"/>
        <w:rPr>
          <w:sz w:val="20"/>
          <w:szCs w:val="20"/>
          <w:color w:val="auto"/>
        </w:rPr>
      </w:pPr>
    </w:p>
    <w:p>
      <w:pPr>
        <w:ind w:left="-40" w:right="280" w:firstLine="436"/>
        <w:spacing w:after="0" w:line="282" w:lineRule="auto"/>
        <w:tabs>
          <w:tab w:leader="none" w:pos="6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Solicitations or Recommendations. The information set forth in the Proxy Statement under the following captions is incorporated herein by reference:</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 PROPOSALS AND THE SPECIAL MEETING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0" w:right="5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Purpose and Reasons of the Company for the Mergers; Recommendation of the Board and the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Fairness of the Mergers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Fees and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SPECIAL MEETING – Solicitation of Proxies; Payment of Solicitation Expenses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480" w:top="268" w:right="479" w:bottom="1440" w:gutter="0" w:footer="0" w:header="0"/>
        </w:sectPr>
      </w:pPr>
    </w:p>
    <w:bookmarkStart w:id="16" w:name="page17"/>
    <w:bookmarkEnd w:id="16"/>
    <w:p>
      <w:pPr>
        <w:ind w:right="400" w:firstLine="436"/>
        <w:spacing w:after="0" w:line="282"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Employees and Corporate Assets. The information set forth in the Proxy Statement under the following captions is incorporated herein by reference:</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384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 PROPOSALS AND THE SPECIAL MEETING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 – Background of the Mergers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FACTORS – Interests of Executive Officers and Directors of the Company in the Mergers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SPECIAL MEETING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SPECIAL MEETING – Solicitation of Proxies; Payment of Solicitation Expenses</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700" w:hanging="264"/>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Golden Parachute Compensation. Not applicable.</w:t>
      </w:r>
    </w:p>
    <w:p>
      <w:pPr>
        <w:spacing w:after="0" w:line="225" w:lineRule="exact"/>
        <w:rPr>
          <w:rFonts w:ascii="Times New Roman" w:cs="Times New Roman" w:eastAsia="Times New Roman" w:hAnsi="Times New Roman"/>
          <w:sz w:val="18"/>
          <w:szCs w:val="18"/>
          <w:color w:val="auto"/>
        </w:rPr>
      </w:pPr>
    </w:p>
    <w:p>
      <w:pPr>
        <w:ind w:right="520" w:firstLine="436"/>
        <w:spacing w:after="0" w:line="282"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Information. The entirety of the Proxy Statement, including all annexes and appendices thereto, is incorporated herein by reference.</w:t>
      </w:r>
    </w:p>
    <w:p>
      <w:pPr>
        <w:spacing w:after="0" w:line="306"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320" w:type="dxa"/>
            <w:vAlign w:val="bottom"/>
            <w:tcBorders>
              <w:bottom w:val="single" w:sz="8" w:color="auto"/>
            </w:tcBorders>
            <w:gridSpan w:val="14"/>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(a)(2)(i)</w:t>
            </w:r>
          </w:p>
        </w:tc>
        <w:tc>
          <w:tcPr>
            <w:tcW w:w="9380" w:type="dxa"/>
            <w:vAlign w:val="bottom"/>
            <w:gridSpan w:val="20"/>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Definitive Proxy Statement of European Wax Center, Inc. (included in the Schedule 14A filed on April 3, 2026, and incorporated</w:t>
              </w:r>
            </w:hyperlink>
          </w:p>
        </w:tc>
      </w:tr>
      <w:tr>
        <w:trPr>
          <w:trHeight w:val="196"/>
        </w:trPr>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herein by reference) (the “Definitive Proxy Statement”).</w:t>
              </w:r>
            </w:hyperlink>
          </w:p>
        </w:tc>
        <w:tc>
          <w:tcPr>
            <w:tcW w:w="5240" w:type="dxa"/>
            <w:vAlign w:val="bottom"/>
            <w:tcBorders>
              <w:top w:val="single" w:sz="8" w:color="0000EE"/>
            </w:tcBorders>
            <w:gridSpan w:val="12"/>
          </w:tcPr>
          <w:p>
            <w:pPr>
              <w:spacing w:after="0"/>
              <w:rPr>
                <w:sz w:val="17"/>
                <w:szCs w:val="17"/>
                <w:color w:val="auto"/>
              </w:rPr>
            </w:pPr>
          </w:p>
        </w:tc>
        <w:tc>
          <w:tcPr>
            <w:tcW w:w="80" w:type="dxa"/>
            <w:vAlign w:val="bottom"/>
            <w:gridSpan w:val="2"/>
          </w:tcPr>
          <w:p>
            <w:pPr>
              <w:spacing w:after="0"/>
              <w:rPr>
                <w:sz w:val="17"/>
                <w:szCs w:val="17"/>
                <w:color w:val="auto"/>
              </w:rPr>
            </w:pPr>
          </w:p>
        </w:tc>
      </w:tr>
      <w:tr>
        <w:trPr>
          <w:trHeight w:val="30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(a)(2)(ii)</w:t>
            </w:r>
          </w:p>
        </w:tc>
        <w:tc>
          <w:tcPr>
            <w:tcW w:w="9380" w:type="dxa"/>
            <w:vAlign w:val="bottom"/>
            <w:gridSpan w:val="20"/>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of Proxy Card (included in the Definitive Proxy Statement and incorporated herein by reference).</w:t>
              </w:r>
            </w:hyperlink>
          </w:p>
        </w:tc>
      </w:tr>
      <w:tr>
        <w:trPr>
          <w:trHeight w:val="20"/>
        </w:trPr>
        <w:tc>
          <w:tcPr>
            <w:tcW w:w="16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(a)(2)(iii)</w:t>
            </w:r>
          </w:p>
        </w:tc>
        <w:tc>
          <w:tcPr>
            <w:tcW w:w="9380" w:type="dxa"/>
            <w:vAlign w:val="bottom"/>
            <w:gridSpan w:val="20"/>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Letter to Stockholders (included in the Definitive Proxy Statement and incorporated herein by reference).</w:t>
              </w:r>
            </w:hyperlink>
          </w:p>
        </w:tc>
      </w:tr>
      <w:tr>
        <w:trPr>
          <w:trHeight w:val="20"/>
        </w:trPr>
        <w:tc>
          <w:tcPr>
            <w:tcW w:w="16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(a)(2)(iv)</w:t>
            </w:r>
          </w:p>
        </w:tc>
        <w:tc>
          <w:tcPr>
            <w:tcW w:w="9380" w:type="dxa"/>
            <w:vAlign w:val="bottom"/>
            <w:gridSpan w:val="20"/>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Notice of Special Meeting of Stockholders (included in the Definitive Proxy Statement and incorporated herein by reference).</w:t>
              </w:r>
            </w:hyperlink>
          </w:p>
        </w:tc>
      </w:tr>
      <w:tr>
        <w:trPr>
          <w:trHeight w:val="20"/>
        </w:trPr>
        <w:tc>
          <w:tcPr>
            <w:tcW w:w="16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(a)(2)(v)</w:t>
            </w:r>
          </w:p>
        </w:tc>
        <w:tc>
          <w:tcPr>
            <w:tcW w:w="92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Current Report on Form 8–K, dated February 10, 2026 (included in Schedule 14A filed on February 10, 2026 and incorporated</w:t>
              </w:r>
            </w:hyperlink>
          </w:p>
        </w:tc>
        <w:tc>
          <w:tcPr>
            <w:tcW w:w="18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herein by reference).</w:t>
              </w:r>
            </w:hyperlink>
          </w:p>
        </w:tc>
        <w:tc>
          <w:tcPr>
            <w:tcW w:w="7880" w:type="dxa"/>
            <w:vAlign w:val="bottom"/>
            <w:gridSpan w:val="17"/>
          </w:tcPr>
          <w:p>
            <w:pPr>
              <w:spacing w:after="0"/>
              <w:rPr>
                <w:sz w:val="17"/>
                <w:szCs w:val="17"/>
                <w:color w:val="auto"/>
              </w:rPr>
            </w:pPr>
          </w:p>
        </w:tc>
      </w:tr>
      <w:tr>
        <w:trPr>
          <w:trHeight w:val="30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(a)(2)(vi)</w:t>
            </w:r>
          </w:p>
        </w:tc>
        <w:tc>
          <w:tcPr>
            <w:tcW w:w="8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Email to EWC Associates, dated February 10, 2026 (included in Schedule 14A filed on February 10, 2026 and incorporated</w:t>
              </w:r>
            </w:hyperlink>
          </w:p>
        </w:tc>
        <w:tc>
          <w:tcPr>
            <w:tcW w:w="40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herein by reference).</w:t>
              </w:r>
            </w:hyperlink>
          </w:p>
        </w:tc>
        <w:tc>
          <w:tcPr>
            <w:tcW w:w="7880" w:type="dxa"/>
            <w:vAlign w:val="bottom"/>
            <w:gridSpan w:val="17"/>
          </w:tcPr>
          <w:p>
            <w:pPr>
              <w:spacing w:after="0"/>
              <w:rPr>
                <w:sz w:val="17"/>
                <w:szCs w:val="17"/>
                <w:color w:val="auto"/>
              </w:rPr>
            </w:pPr>
          </w:p>
        </w:tc>
      </w:tr>
      <w:tr>
        <w:trPr>
          <w:trHeight w:val="30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(a)(2)(vii)</w:t>
            </w:r>
          </w:p>
        </w:tc>
        <w:tc>
          <w:tcPr>
            <w:tcW w:w="9380" w:type="dxa"/>
            <w:vAlign w:val="bottom"/>
            <w:gridSpan w:val="20"/>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Email to Franchisees, dated February 10, 2026 (included in Schedule 14A filed on February 10, 2026 and incorporated herein by</w:t>
              </w:r>
            </w:hyperlink>
          </w:p>
        </w:tc>
      </w:tr>
      <w:tr>
        <w:trPr>
          <w:trHeight w:val="196"/>
        </w:trPr>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36">
              <w:r>
                <w:rPr>
                  <w:rFonts w:ascii="Times New Roman" w:cs="Times New Roman" w:eastAsia="Times New Roman" w:hAnsi="Times New Roman"/>
                  <w:sz w:val="18"/>
                  <w:szCs w:val="18"/>
                  <w:color w:val="0000EE"/>
                  <w:w w:val="98"/>
                </w:rPr>
                <w:t>reference).</w:t>
              </w:r>
            </w:hyperlink>
          </w:p>
        </w:tc>
        <w:tc>
          <w:tcPr>
            <w:tcW w:w="8540" w:type="dxa"/>
            <w:vAlign w:val="bottom"/>
            <w:tcBorders>
              <w:top w:val="single" w:sz="8" w:color="0000EE"/>
            </w:tcBorders>
            <w:gridSpan w:val="18"/>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(a)(5)(i)</w:t>
            </w:r>
          </w:p>
        </w:tc>
        <w:tc>
          <w:tcPr>
            <w:tcW w:w="84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Press Release, dated February 10, 2026 (incorporated by reference to Exhibit 99.1 to the Company’s Form 8-K (filed</w:t>
              </w:r>
            </w:hyperlink>
          </w:p>
        </w:tc>
        <w:tc>
          <w:tcPr>
            <w:tcW w:w="96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80" w:type="dxa"/>
            <w:vAlign w:val="bottom"/>
            <w:gridSpan w:val="20"/>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February 10, 2026) (File No. 001–40714)).</w:t>
              </w:r>
            </w:hyperlink>
          </w:p>
        </w:tc>
      </w:tr>
      <w:tr>
        <w:trPr>
          <w:trHeight w:val="20"/>
        </w:trPr>
        <w:tc>
          <w:tcPr>
            <w:tcW w:w="1640" w:type="dxa"/>
            <w:vAlign w:val="bottom"/>
            <w:gridSpan w:val="2"/>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30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w:t>
            </w:r>
          </w:p>
        </w:tc>
        <w:tc>
          <w:tcPr>
            <w:tcW w:w="89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Debt Commitment Letter, dated February 9, 2026, from HPS Investment Partners, LLC and accepted and agreed to by Glow</w:t>
              </w:r>
            </w:hyperlink>
          </w:p>
        </w:tc>
        <w:tc>
          <w:tcPr>
            <w:tcW w:w="42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80" w:type="dxa"/>
            <w:vAlign w:val="bottom"/>
            <w:gridSpan w:val="20"/>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Midco, LLC.</w:t>
              </w:r>
            </w:hyperlink>
          </w:p>
        </w:tc>
      </w:tr>
      <w:tr>
        <w:trPr>
          <w:trHeight w:val="20"/>
        </w:trPr>
        <w:tc>
          <w:tcPr>
            <w:tcW w:w="1640" w:type="dxa"/>
            <w:vAlign w:val="bottom"/>
            <w:gridSpan w:val="2"/>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r>
      <w:tr>
        <w:trPr>
          <w:trHeight w:val="30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w:t>
            </w:r>
          </w:p>
        </w:tc>
        <w:tc>
          <w:tcPr>
            <w:tcW w:w="88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Opinion of Moelis &amp; Company LLC, dated February 9, 2026 (included as Annex C to the Definitive Proxy Statement, and</w:t>
              </w:r>
            </w:hyperlink>
          </w:p>
        </w:tc>
        <w:tc>
          <w:tcPr>
            <w:tcW w:w="50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incorporated herein by reference).</w:t>
              </w:r>
            </w:hyperlink>
          </w:p>
        </w:tc>
        <w:tc>
          <w:tcPr>
            <w:tcW w:w="6920" w:type="dxa"/>
            <w:vAlign w:val="bottom"/>
            <w:gridSpan w:val="16"/>
          </w:tcPr>
          <w:p>
            <w:pPr>
              <w:spacing w:after="0"/>
              <w:rPr>
                <w:sz w:val="17"/>
                <w:szCs w:val="17"/>
                <w:color w:val="auto"/>
              </w:rPr>
            </w:pPr>
          </w:p>
        </w:tc>
      </w:tr>
      <w:tr>
        <w:trPr>
          <w:trHeight w:val="30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(c)(ii)*</w:t>
            </w:r>
          </w:p>
        </w:tc>
        <w:tc>
          <w:tcPr>
            <w:tcW w:w="9380" w:type="dxa"/>
            <w:vAlign w:val="bottom"/>
            <w:gridSpan w:val="20"/>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The Presentation of Moelis &amp; Company LLC to the Special Committee, dated December 23, 2025.</w:t>
              </w:r>
            </w:hyperlink>
          </w:p>
        </w:tc>
      </w:tr>
      <w:tr>
        <w:trPr>
          <w:trHeight w:val="30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(c)(iii)*</w:t>
            </w:r>
          </w:p>
        </w:tc>
        <w:tc>
          <w:tcPr>
            <w:tcW w:w="686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The Presentation of Moelis &amp; Company LLC to the Special Committee, dated January 6, 2026.</w:t>
              </w:r>
            </w:hyperlink>
          </w:p>
        </w:tc>
        <w:tc>
          <w:tcPr>
            <w:tcW w:w="260" w:type="dxa"/>
            <w:vAlign w:val="bottom"/>
            <w:tcBorders>
              <w:top w:val="single" w:sz="8" w:color="0000EE"/>
            </w:tcBorders>
            <w:gridSpan w:val="2"/>
          </w:tcPr>
          <w:p>
            <w:pPr>
              <w:spacing w:after="0"/>
              <w:rPr>
                <w:sz w:val="24"/>
                <w:szCs w:val="24"/>
                <w:color w:val="auto"/>
              </w:rPr>
            </w:pPr>
          </w:p>
        </w:tc>
        <w:tc>
          <w:tcPr>
            <w:tcW w:w="2260" w:type="dxa"/>
            <w:vAlign w:val="bottom"/>
            <w:gridSpan w:val="11"/>
          </w:tcPr>
          <w:p>
            <w:pPr>
              <w:spacing w:after="0"/>
              <w:rPr>
                <w:sz w:val="24"/>
                <w:szCs w:val="24"/>
                <w:color w:val="auto"/>
              </w:rPr>
            </w:pPr>
          </w:p>
        </w:tc>
      </w:tr>
      <w:tr>
        <w:trPr>
          <w:trHeight w:val="30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(c)(iv)*</w:t>
            </w:r>
          </w:p>
        </w:tc>
        <w:tc>
          <w:tcPr>
            <w:tcW w:w="9380" w:type="dxa"/>
            <w:vAlign w:val="bottom"/>
            <w:gridSpan w:val="20"/>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The Presentation of Moelis &amp; Company LLC to the Special Committee, dated January 13, 2026.</w:t>
              </w:r>
            </w:hyperlink>
          </w:p>
        </w:tc>
      </w:tr>
      <w:tr>
        <w:trPr>
          <w:trHeight w:val="20"/>
        </w:trPr>
        <w:tc>
          <w:tcPr>
            <w:tcW w:w="1640" w:type="dxa"/>
            <w:vAlign w:val="bottom"/>
            <w:gridSpan w:val="2"/>
          </w:tcPr>
          <w:p>
            <w:pPr>
              <w:spacing w:after="0" w:line="20" w:lineRule="exact"/>
              <w:rPr>
                <w:sz w:val="1"/>
                <w:szCs w:val="1"/>
                <w:color w:val="auto"/>
              </w:rPr>
            </w:pPr>
          </w:p>
        </w:tc>
        <w:tc>
          <w:tcPr>
            <w:tcW w:w="6940" w:type="dxa"/>
            <w:vAlign w:val="bottom"/>
            <w:gridSpan w:val="8"/>
            <w:shd w:val="clear" w:color="auto" w:fill="0000EE"/>
          </w:tcPr>
          <w:p>
            <w:pPr>
              <w:spacing w:after="0" w:line="20" w:lineRule="exact"/>
              <w:rPr>
                <w:sz w:val="1"/>
                <w:szCs w:val="1"/>
                <w:color w:val="auto"/>
              </w:rPr>
            </w:pPr>
          </w:p>
        </w:tc>
        <w:tc>
          <w:tcPr>
            <w:tcW w:w="2440" w:type="dxa"/>
            <w:vAlign w:val="bottom"/>
            <w:gridSpan w:val="12"/>
          </w:tcPr>
          <w:p>
            <w:pPr>
              <w:spacing w:after="0" w:line="20" w:lineRule="exact"/>
              <w:rPr>
                <w:sz w:val="1"/>
                <w:szCs w:val="1"/>
                <w:color w:val="auto"/>
              </w:rPr>
            </w:pPr>
          </w:p>
        </w:tc>
      </w:tr>
      <w:tr>
        <w:trPr>
          <w:trHeight w:val="30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w:t>
            </w:r>
          </w:p>
        </w:tc>
        <w:tc>
          <w:tcPr>
            <w:tcW w:w="9380" w:type="dxa"/>
            <w:vAlign w:val="bottom"/>
            <w:gridSpan w:val="20"/>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The Presentation of Moelis &amp; Company LLC to the Special Committee, dated January 27, 2026.</w:t>
              </w:r>
            </w:hyperlink>
          </w:p>
        </w:tc>
      </w:tr>
      <w:tr>
        <w:trPr>
          <w:trHeight w:val="385"/>
        </w:trPr>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60" w:type="dxa"/>
            <w:vAlign w:val="bottom"/>
            <w:tcBorders>
              <w:top w:val="single" w:sz="8" w:color="0000EE"/>
            </w:tcBorders>
            <w:gridSpan w:val="6"/>
          </w:tcPr>
          <w:p>
            <w:pPr>
              <w:ind w:left="3780"/>
              <w:spacing w:after="0"/>
              <w:rPr>
                <w:sz w:val="20"/>
                <w:szCs w:val="20"/>
                <w:color w:val="auto"/>
              </w:rPr>
            </w:pPr>
            <w:r>
              <w:rPr>
                <w:rFonts w:ascii="Times New Roman" w:cs="Times New Roman" w:eastAsia="Times New Roman" w:hAnsi="Times New Roman"/>
                <w:sz w:val="18"/>
                <w:szCs w:val="18"/>
                <w:color w:val="auto"/>
              </w:rPr>
              <w:t>17</w:t>
            </w:r>
          </w:p>
        </w:tc>
        <w:tc>
          <w:tcPr>
            <w:tcW w:w="28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640" w:type="dxa"/>
            <w:vAlign w:val="bottom"/>
            <w:tcBorders>
              <w:bottom w:val="single" w:sz="8" w:color="auto"/>
            </w:tcBorders>
            <w:gridSpan w:val="8"/>
          </w:tcPr>
          <w:p>
            <w:pPr>
              <w:ind w:left="1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(c)(vi)*</w:t>
            </w:r>
          </w:p>
        </w:tc>
        <w:tc>
          <w:tcPr>
            <w:tcW w:w="69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The Presentation of Moelis &amp; Company LLC to the Special Committee, dated February 9, 2026.</w:t>
              </w:r>
            </w:hyperlink>
          </w:p>
        </w:tc>
        <w:tc>
          <w:tcPr>
            <w:tcW w:w="2440" w:type="dxa"/>
            <w:vAlign w:val="bottom"/>
            <w:gridSpan w:val="7"/>
          </w:tcPr>
          <w:p>
            <w:pPr>
              <w:spacing w:after="0"/>
              <w:rPr>
                <w:sz w:val="22"/>
                <w:szCs w:val="22"/>
                <w:color w:val="auto"/>
              </w:rPr>
            </w:pPr>
          </w:p>
        </w:tc>
      </w:tr>
      <w:tr>
        <w:trPr>
          <w:trHeight w:val="30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w:t>
            </w:r>
          </w:p>
        </w:tc>
        <w:tc>
          <w:tcPr>
            <w:tcW w:w="91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Agreement and Plan of Merger, dated February 9, 2026 by and among European Wax Center Inc., EWC Ventures, LLC, Glow</w:t>
              </w:r>
            </w:hyperlink>
          </w:p>
        </w:tc>
        <w:tc>
          <w:tcPr>
            <w:tcW w:w="24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Midco, LLC, Glow Merger Sub 1, Inc. and Glow Merger Sub 2, LLC (included as Annex A to the Definitive Proxy Statement,</w:t>
              </w:r>
            </w:hyperlink>
          </w:p>
        </w:tc>
        <w:tc>
          <w:tcPr>
            <w:tcW w:w="26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0" w:type="dxa"/>
            <w:vAlign w:val="bottom"/>
            <w:gridSpan w:val="13"/>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and incorporated herein by reference).</w:t>
              </w:r>
            </w:hyperlink>
          </w:p>
        </w:tc>
      </w:tr>
      <w:tr>
        <w:trPr>
          <w:trHeight w:val="20"/>
        </w:trPr>
        <w:tc>
          <w:tcPr>
            <w:tcW w:w="162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(d)(ii)</w:t>
            </w:r>
          </w:p>
        </w:tc>
        <w:tc>
          <w:tcPr>
            <w:tcW w:w="9400" w:type="dxa"/>
            <w:vAlign w:val="bottom"/>
            <w:gridSpan w:val="13"/>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Support Agreement, dated February 9, 2026, by and among European Wax Center, Inc., Glow Midco, LLC, and the stockholders</w:t>
              </w:r>
            </w:hyperlink>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party thereto (included as Annex B to the Definitive Proxy Statement, and incorporated herein by reference).</w:t>
              </w:r>
            </w:hyperlink>
          </w:p>
        </w:tc>
        <w:tc>
          <w:tcPr>
            <w:tcW w:w="1480" w:type="dxa"/>
            <w:vAlign w:val="bottom"/>
            <w:tcBorders>
              <w:top w:val="single" w:sz="8" w:color="0000EE"/>
            </w:tcBorders>
            <w:gridSpan w:val="5"/>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(d)(iii)*</w:t>
            </w:r>
          </w:p>
        </w:tc>
        <w:tc>
          <w:tcPr>
            <w:tcW w:w="89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Equity Commitment Letter, dated February 9, 2026, from General Atlantic Partners 100, L.P. and accepted and agreed to by</w:t>
              </w:r>
            </w:hyperlink>
          </w:p>
        </w:tc>
        <w:tc>
          <w:tcPr>
            <w:tcW w:w="42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Glow Midco, LLC.</w:t>
              </w:r>
            </w:hyperlink>
          </w:p>
        </w:tc>
        <w:tc>
          <w:tcPr>
            <w:tcW w:w="8000" w:type="dxa"/>
            <w:vAlign w:val="bottom"/>
            <w:gridSpan w:val="10"/>
          </w:tcPr>
          <w:p>
            <w:pPr>
              <w:spacing w:after="0"/>
              <w:rPr>
                <w:sz w:val="17"/>
                <w:szCs w:val="17"/>
                <w:color w:val="auto"/>
              </w:rPr>
            </w:pPr>
          </w:p>
        </w:tc>
      </w:tr>
      <w:tr>
        <w:trPr>
          <w:trHeight w:val="30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w:t>
            </w:r>
          </w:p>
        </w:tc>
        <w:tc>
          <w:tcPr>
            <w:tcW w:w="89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Stockholders Agreement, dated as of August 4, 2021, by and among European Wax Center, Inc. and the stockholders named</w:t>
              </w:r>
            </w:hyperlink>
          </w:p>
        </w:tc>
        <w:tc>
          <w:tcPr>
            <w:tcW w:w="44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0" w:type="dxa"/>
            <w:vAlign w:val="bottom"/>
            <w:gridSpan w:val="13"/>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therein (incorporated by reference to Exhibit 10.3 to the Registrant’s Quarterly Report on Form 10-Q filed on September 14,</w:t>
              </w:r>
            </w:hyperlink>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49">
              <w:r>
                <w:rPr>
                  <w:rFonts w:ascii="Times New Roman" w:cs="Times New Roman" w:eastAsia="Times New Roman" w:hAnsi="Times New Roman"/>
                  <w:sz w:val="18"/>
                  <w:szCs w:val="18"/>
                  <w:color w:val="0000EE"/>
                  <w:w w:val="98"/>
                </w:rPr>
                <w:t>2021).</w:t>
              </w:r>
            </w:hyperlink>
          </w:p>
        </w:tc>
        <w:tc>
          <w:tcPr>
            <w:tcW w:w="7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20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w:t>
            </w:r>
          </w:p>
        </w:tc>
        <w:tc>
          <w:tcPr>
            <w:tcW w:w="9400" w:type="dxa"/>
            <w:vAlign w:val="bottom"/>
            <w:gridSpan w:val="13"/>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Section 262 of the DGCL.</w:t>
              </w:r>
            </w:hyperlink>
          </w:p>
        </w:tc>
      </w:tr>
      <w:tr>
        <w:trPr>
          <w:trHeight w:val="345"/>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w:t>
            </w:r>
          </w:p>
        </w:tc>
        <w:tc>
          <w:tcPr>
            <w:tcW w:w="19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500" w:type="dxa"/>
            <w:vAlign w:val="bottom"/>
            <w:gridSpan w:val="9"/>
          </w:tcPr>
          <w:p>
            <w:pPr>
              <w:spacing w:after="0"/>
              <w:rPr>
                <w:sz w:val="24"/>
                <w:szCs w:val="24"/>
                <w:color w:val="auto"/>
              </w:rPr>
            </w:pP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00" w:type="dxa"/>
            <w:vAlign w:val="bottom"/>
          </w:tcPr>
          <w:p>
            <w:pPr>
              <w:spacing w:after="0"/>
              <w:rPr>
                <w:sz w:val="24"/>
                <w:szCs w:val="24"/>
                <w:color w:val="auto"/>
              </w:rPr>
            </w:pPr>
          </w:p>
        </w:tc>
        <w:tc>
          <w:tcPr>
            <w:tcW w:w="9400" w:type="dxa"/>
            <w:vAlign w:val="bottom"/>
            <w:gridSpan w:val="13"/>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Filing Fee Table.</w:t>
              </w:r>
            </w:hyperlink>
          </w:p>
        </w:tc>
      </w:tr>
      <w:tr>
        <w:trPr>
          <w:trHeight w:val="479"/>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Previously filed.</w:t>
            </w:r>
          </w:p>
        </w:tc>
        <w:tc>
          <w:tcPr>
            <w:tcW w:w="4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960" w:type="dxa"/>
            <w:vAlign w:val="bottom"/>
            <w:gridSpan w:val="6"/>
          </w:tcPr>
          <w:p>
            <w:pPr>
              <w:ind w:left="3800"/>
              <w:spacing w:after="0"/>
              <w:rPr>
                <w:sz w:val="20"/>
                <w:szCs w:val="20"/>
                <w:color w:val="auto"/>
              </w:rPr>
            </w:pPr>
            <w:r>
              <w:rPr>
                <w:rFonts w:ascii="Times New Roman" w:cs="Times New Roman" w:eastAsia="Times New Roman" w:hAnsi="Times New Roman"/>
                <w:sz w:val="18"/>
                <w:szCs w:val="18"/>
                <w:color w:val="auto"/>
              </w:rPr>
              <w:t>18</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18" w:name="page19"/>
    <w:bookmarkEnd w:id="18"/>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 2026</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EUROPEAN WAX CENTER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Christopher Morris</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 and Chairman</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EWC VENTURES,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Christopher Morris</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 and Chairman</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40"/>
          </w:cols>
          <w:pgMar w:left="880" w:top="266" w:right="47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GLOW MIDCO,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GLOW MERGER SUB 1,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GLOW MERGER SUB 2,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20" w:name="page21"/>
    <w:bookmarkEnd w:id="20"/>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ATLANTIC,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ATLANTIC GENPAR,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GENERAL ATLANTIC, L.P., its general partner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GAP COINVESTMENTS III,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GENERAL ATLANTIC, L.P., its managing member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GAP COINVESTMENTS IV,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GENERAL ATLANTIC, L.P., its managing member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GAP COINVESTMENTS V,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GENERAL ATLANTIC, L.P., its managing member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21" w:name="page22"/>
    <w:bookmarkEnd w:id="2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GAP COINVESTMENTS CDA,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ATLANTIC PARTNERS AIV–1 A,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GENERAL ATLANTIC GENPAR, L.P., its general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ATLANTIC PARTNERS AIV–1 B,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GENERAL ATLANTIC GENPAR, L.P., its general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ATLANTIC (SPV) GP,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L.P., its sole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640"/>
          </w:cols>
          <w:pgMar w:left="1440" w:top="270" w:right="819" w:bottom="1440" w:gutter="0" w:footer="0" w:header="0"/>
        </w:sectPr>
      </w:pPr>
    </w:p>
    <w:bookmarkStart w:id="22" w:name="page23"/>
    <w:bookmarkEnd w:id="2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ATLANTIC GENPAR, (EW)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GENERAL ATLANTIC GENPAR, L.P., its general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ATLANTIC PARTNERS AIV (EW)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GENPAR, (EW) L.P., its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GENERAL ATLANTIC GENPAR, L.P., its general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GAPCO AIV HOLDINGS,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GENERAL ATLANTIC (SPV) GP, LLC, its general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GAPCO AIV INTERHOLDCO (EW),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GENERAL ATLANTIC (SPV) GP, LLC, its general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700"/>
          </w:cols>
          <w:pgMar w:left="1440" w:top="270" w:right="759" w:bottom="1440" w:gutter="0" w:footer="0" w:header="0"/>
        </w:sectPr>
      </w:pPr>
    </w:p>
    <w:bookmarkStart w:id="23" w:name="page24"/>
    <w:bookmarkEnd w:id="2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GA AIV–1 B INTERHOLDCO,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GENPAR,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GENERAL ATLANTIC, L.P., its general partner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GA AIV–1 B INTERHOLDCO (EW),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(SPV)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sectPr>
      <w:pgSz w:w="11900" w:h="16838" w:orient="portrait"/>
      <w:cols w:equalWidth="0" w:num="1">
        <w:col w:w="9440"/>
      </w:cols>
      <w:pgMar w:left="1440" w:top="270"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lowerLetter"/>
      <w:start w:val="1"/>
    </w:lvl>
  </w:abstractNum>
  <w:abstractNum w:abstractNumId="1">
    <w:nsid w:val="431BD7B7"/>
    <w:multiLevelType w:val="hybridMultilevel"/>
    <w:lvl w:ilvl="0">
      <w:lvlJc w:val="left"/>
      <w:lvlText w:val="(%1)"/>
      <w:numFmt w:val="lowerRoman"/>
      <w:start w:val="2"/>
    </w:lvl>
  </w:abstractNum>
  <w:abstractNum w:abstractNumId="2">
    <w:nsid w:val="3F2DBA31"/>
    <w:multiLevelType w:val="hybridMultilevel"/>
    <w:lvl w:ilvl="0">
      <w:lvlJc w:val="left"/>
      <w:lvlText w:val="(%1)"/>
      <w:numFmt w:val="lowerRoman"/>
      <w:start w:val="14"/>
    </w:lvl>
  </w:abstractNum>
  <w:abstractNum w:abstractNumId="3">
    <w:nsid w:val="7C83E458"/>
    <w:multiLevelType w:val="hybridMultilevel"/>
    <w:lvl w:ilvl="0">
      <w:lvlJc w:val="left"/>
      <w:lvlText w:val="(%1)"/>
      <w:numFmt w:val="lowerRoman"/>
      <w:start w:val="16"/>
    </w:lvl>
  </w:abstractNum>
  <w:abstractNum w:abstractNumId="4">
    <w:nsid w:val="257130A3"/>
    <w:multiLevelType w:val="hybridMultilevel"/>
    <w:lvl w:ilvl="0">
      <w:lvlJc w:val="left"/>
      <w:lvlText w:val="(%1)"/>
      <w:numFmt w:val="lowerRoman"/>
      <w:start w:val="18"/>
    </w:lvl>
  </w:abstractNum>
  <w:abstractNum w:abstractNumId="5">
    <w:nsid w:val="62BBD95A"/>
    <w:multiLevelType w:val="hybridMultilevel"/>
    <w:lvl w:ilvl="0">
      <w:lvlJc w:val="left"/>
      <w:lvlText w:val="(%1)"/>
      <w:numFmt w:val="lowerRoman"/>
      <w:start w:val="20"/>
    </w:lvl>
  </w:abstractNum>
  <w:abstractNum w:abstractNumId="6">
    <w:nsid w:val="436C6125"/>
    <w:multiLevelType w:val="hybridMultilevel"/>
    <w:lvl w:ilvl="0">
      <w:lvlJc w:val="left"/>
      <w:lvlText w:val="(%1)"/>
      <w:numFmt w:val="lowerLetter"/>
      <w:start w:val="2"/>
    </w:lvl>
  </w:abstractNum>
  <w:abstractNum w:abstractNumId="7">
    <w:nsid w:val="628C895D"/>
    <w:multiLevelType w:val="hybridMultilevel"/>
    <w:lvl w:ilvl="0">
      <w:lvlJc w:val="left"/>
      <w:lvlText w:val="(%1)"/>
      <w:numFmt w:val="lowerLetter"/>
      <w:start w:val="3"/>
    </w:lvl>
  </w:abstractNum>
  <w:abstractNum w:abstractNumId="8">
    <w:nsid w:val="333AB105"/>
    <w:multiLevelType w:val="hybridMultilevel"/>
    <w:lvl w:ilvl="0">
      <w:lvlJc w:val="left"/>
      <w:lvlText w:val="(%1)"/>
      <w:numFmt w:val="lowerLetter"/>
      <w:start w:val="5"/>
    </w:lvl>
  </w:abstractNum>
  <w:abstractNum w:abstractNumId="9">
    <w:nsid w:val="721DA317"/>
    <w:multiLevelType w:val="hybridMultilevel"/>
    <w:lvl w:ilvl="0">
      <w:lvlJc w:val="left"/>
      <w:lvlText w:val="(%1)"/>
      <w:numFmt w:val="lowerLetter"/>
      <w:start w:val="3"/>
    </w:lvl>
  </w:abstractNum>
  <w:abstractNum w:abstractNumId="10">
    <w:nsid w:val="2443A858"/>
    <w:multiLevelType w:val="hybridMultilevel"/>
    <w:lvl w:ilvl="0">
      <w:lvlJc w:val="left"/>
      <w:lvlText w:val="(%1)"/>
      <w:numFmt w:val="lowerLetter"/>
      <w:start w:val="4"/>
    </w:lvl>
  </w:abstractNum>
  <w:abstractNum w:abstractNumId="11">
    <w:nsid w:val="2D1D5AE9"/>
    <w:multiLevelType w:val="hybridMultilevel"/>
    <w:lvl w:ilvl="0">
      <w:lvlJc w:val="left"/>
      <w:lvlText w:val="(%1)"/>
      <w:numFmt w:val="lowerLetter"/>
      <w:start w:val="5"/>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lowerLetter"/>
      <w:start w:val="2"/>
    </w:lvl>
  </w:abstractNum>
  <w:abstractNum w:abstractNumId="14">
    <w:nsid w:val="8EDBDAB"/>
    <w:multiLevelType w:val="hybridMultilevel"/>
    <w:lvl w:ilvl="0">
      <w:lvlJc w:val="left"/>
      <w:lvlText w:val="(%1)"/>
      <w:numFmt w:val="lowerLetter"/>
      <w:start w:val="3"/>
    </w:lvl>
  </w:abstractNum>
  <w:abstractNum w:abstractNumId="15">
    <w:nsid w:val="79838CB2"/>
    <w:multiLevelType w:val="hybridMultilevel"/>
    <w:lvl w:ilvl="0">
      <w:lvlJc w:val="left"/>
      <w:lvlText w:val="(%1)"/>
      <w:numFmt w:val="lowerLetter"/>
      <w:start w:val="5"/>
    </w:lvl>
  </w:abstractNum>
  <w:abstractNum w:abstractNumId="16">
    <w:nsid w:val="4353D0CD"/>
    <w:multiLevelType w:val="hybridMultilevel"/>
    <w:lvl w:ilvl="0">
      <w:lvlJc w:val="left"/>
      <w:lvlText w:val="(%1)"/>
      <w:numFmt w:val="lowerLetter"/>
      <w:start w:val="2"/>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lowerLetter"/>
      <w:start w:val="2"/>
    </w:lvl>
  </w:abstractNum>
  <w:abstractNum w:abstractNumId="19">
    <w:nsid w:val="54E49EB4"/>
    <w:multiLevelType w:val="hybridMultilevel"/>
    <w:lvl w:ilvl="0">
      <w:lvlJc w:val="left"/>
      <w:lvlText w:val="(%1)"/>
      <w:numFmt w:val="lowerLetter"/>
      <w:start w:val="3"/>
    </w:lvl>
  </w:abstractNum>
  <w:abstractNum w:abstractNumId="20">
    <w:nsid w:val="71F32454"/>
    <w:multiLevelType w:val="hybridMultilevel"/>
    <w:lvl w:ilvl="0">
      <w:lvlJc w:val="left"/>
      <w:lvlText w:val="(%1)"/>
      <w:numFmt w:val="lowerLetter"/>
      <w:start w:val="4"/>
    </w:lvl>
  </w:abstractNum>
  <w:abstractNum w:abstractNumId="21">
    <w:nsid w:val="2CA88611"/>
    <w:multiLevelType w:val="hybridMultilevel"/>
    <w:lvl w:ilvl="0">
      <w:lvlJc w:val="left"/>
      <w:lvlText w:val="(%1)"/>
      <w:numFmt w:val="lowerLetter"/>
      <w:start w:val="3"/>
    </w:lvl>
  </w:abstractNum>
  <w:abstractNum w:abstractNumId="22">
    <w:nsid w:val="836C40E"/>
    <w:multiLevelType w:val="hybridMultilevel"/>
    <w:lvl w:ilvl="0">
      <w:lvlJc w:val="left"/>
      <w:lvlText w:val="(%1)"/>
      <w:numFmt w:val="lowerLetter"/>
      <w:start w:val="4"/>
    </w:lvl>
  </w:abstractNum>
  <w:abstractNum w:abstractNumId="23">
    <w:nsid w:val="2901D82"/>
    <w:multiLevelType w:val="hybridMultilevel"/>
    <w:lvl w:ilvl="0">
      <w:lvlJc w:val="left"/>
      <w:lvlText w:val="(%1)"/>
      <w:numFmt w:val="lowerLetter"/>
      <w:start w:val="5"/>
    </w:lvl>
  </w:abstractNum>
  <w:abstractNum w:abstractNumId="24">
    <w:nsid w:val="3A95F874"/>
    <w:multiLevelType w:val="hybridMultilevel"/>
    <w:lvl w:ilvl="0">
      <w:lvlJc w:val="left"/>
      <w:lvlText w:val="(%1)"/>
      <w:numFmt w:val="lowerLetter"/>
      <w:start w:val="6"/>
    </w:lvl>
  </w:abstractNum>
  <w:abstractNum w:abstractNumId="25">
    <w:nsid w:val="8138641"/>
    <w:multiLevelType w:val="hybridMultilevel"/>
    <w:lvl w:ilvl="0">
      <w:lvlJc w:val="left"/>
      <w:lvlText w:val="(%1)"/>
      <w:numFmt w:val="lowerLetter"/>
      <w:start w:val="3"/>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2"/>
    </w:lvl>
  </w:abstractNum>
  <w:abstractNum w:abstractNumId="28">
    <w:nsid w:val="737B8DDC"/>
    <w:multiLevelType w:val="hybridMultilevel"/>
    <w:lvl w:ilvl="0">
      <w:lvlJc w:val="left"/>
      <w:lvlText w:val="(%1)"/>
      <w:numFmt w:val="lowerLetter"/>
      <w:start w:val="4"/>
    </w:lvl>
  </w:abstractNum>
  <w:abstractNum w:abstractNumId="29">
    <w:nsid w:val="6CEAF087"/>
    <w:multiLevelType w:val="hybridMultilevel"/>
    <w:lvl w:ilvl="0">
      <w:lvlJc w:val="left"/>
      <w:lvlText w:val="(%1)"/>
      <w:numFmt w:val="lowerLetter"/>
      <w:start w:val="5"/>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2"/>
    </w:lvl>
  </w:abstractNum>
  <w:abstractNum w:abstractNumId="33">
    <w:nsid w:val="614FD4A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44"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34" Type="http://schemas.openxmlformats.org/officeDocument/2006/relationships/hyperlink" Target="http://www.sec.gov/Archives/edgar/data/1856236/000119312526141205/d118454ddefm14a.htm" TargetMode="External"/><Relationship Id="rId35" Type="http://schemas.openxmlformats.org/officeDocument/2006/relationships/hyperlink" Target="http://www.sec.gov/Archives/edgar/data/1856236/000119312526043662/d71794ddefa14a.htm" TargetMode="External"/><Relationship Id="rId36" Type="http://schemas.openxmlformats.org/officeDocument/2006/relationships/hyperlink" Target="http://www.sec.gov/Archives/edgar/data/1856236/000119312526044836/d100032ddefa14a.htm" TargetMode="External"/><Relationship Id="rId37" Type="http://schemas.openxmlformats.org/officeDocument/2006/relationships/hyperlink" Target="http://www.sec.gov/Archives/edgar/data/1856236/000119312526043656/d71794dex991.htm" TargetMode="External"/><Relationship Id="rId38" Type="http://schemas.openxmlformats.org/officeDocument/2006/relationships/hyperlink" Target="http://www.sec.gov/Archives/edgar/data/1856236/000119312526102445/d51338dex99b1.htm" TargetMode="External"/><Relationship Id="rId39" Type="http://schemas.openxmlformats.org/officeDocument/2006/relationships/hyperlink" Target="http://www.sec.gov/Archives/edgar/data/1856236/000119312526132086/d118454dprer14a.htm#toc1118454_106" TargetMode="External"/><Relationship Id="rId40" Type="http://schemas.openxmlformats.org/officeDocument/2006/relationships/hyperlink" Target="http://www.sec.gov/Archives/edgar/data/1856236/000119312526102445/d51338dex99cii.htm" TargetMode="External"/><Relationship Id="rId41" Type="http://schemas.openxmlformats.org/officeDocument/2006/relationships/hyperlink" Target="http://www.sec.gov/Archives/edgar/data/1856236/000119312526102445/d51338dex99ciii.htm" TargetMode="External"/><Relationship Id="rId42" Type="http://schemas.openxmlformats.org/officeDocument/2006/relationships/hyperlink" Target="http://www.sec.gov/Archives/edgar/data/1856236/000119312526102445/d51338dex99civ.htm" TargetMode="External"/><Relationship Id="rId43" Type="http://schemas.openxmlformats.org/officeDocument/2006/relationships/hyperlink" Target="http://www.sec.gov/Archives/edgar/data/1856236/000119312526102445/d51338dex99cv.htm" TargetMode="External"/><Relationship Id="rId45" Type="http://schemas.openxmlformats.org/officeDocument/2006/relationships/hyperlink" Target="http://www.sec.gov/Archives/edgar/data/1856236/000119312526102445/d51338dex99cvi.htm" TargetMode="External"/><Relationship Id="rId46" Type="http://schemas.openxmlformats.org/officeDocument/2006/relationships/hyperlink" Target="http://www.sec.gov/Archives/edgar/data/1856236/000119312526132086/d118454dprer14a.htm#toc1118454_104" TargetMode="External"/><Relationship Id="rId47" Type="http://schemas.openxmlformats.org/officeDocument/2006/relationships/hyperlink" Target="http://www.sec.gov/Archives/edgar/data/1856236/000119312526132086/d118454dprer14a.htm#toc1118454_105" TargetMode="External"/><Relationship Id="rId48" Type="http://schemas.openxmlformats.org/officeDocument/2006/relationships/hyperlink" Target="http://www.sec.gov/Archives/edgar/data/1856236/000119312526102445/d51338dex99diii.htm" TargetMode="External"/><Relationship Id="rId49" Type="http://schemas.openxmlformats.org/officeDocument/2006/relationships/hyperlink" Target="http://www.sec.gov/Archives/edgar/data/1856236/000095017021001806/ewcz-20210626ex10_3.htm" TargetMode="External"/><Relationship Id="rId50" Type="http://schemas.openxmlformats.org/officeDocument/2006/relationships/hyperlink" Target="http://www.sec.gov/Archives/edgar/data/1856236/000119312526102445/d51338dex99f.htm" TargetMode="External"/><Relationship Id="rId51" Type="http://schemas.openxmlformats.org/officeDocument/2006/relationships/hyperlink" Target="http://www.sec.gov/Archives/edgar/data/1856236/000119312526102445/d51338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2026-04-03T06:30:22Z</dcterms:created>
  <dcterms:modified xsi:type="dcterms:W3CDTF">2026-04-03T06:30:22Z</dcterms:modified>
</cp:coreProperties>
</file>